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C" w:rsidRPr="00EA4FB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EA4FB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«Улыбка»  на базе </w:t>
      </w:r>
      <w:r w:rsidRPr="00EA4FB4">
        <w:rPr>
          <w:rFonts w:ascii="Arial" w:hAnsi="Arial" w:cs="Arial"/>
          <w:b/>
          <w:sz w:val="18"/>
          <w:szCs w:val="18"/>
        </w:rPr>
        <w:t>муниципального автономного общеобразовательного учреждения «Гагаринская средняя общеобразовательная школа»</w:t>
      </w:r>
    </w:p>
    <w:p w:rsidR="00B133EC" w:rsidRPr="00EA4FB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A4FB4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AC21C8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EA4FB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EA4FB4" w:rsidRDefault="00B133EC" w:rsidP="00B133E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875" w:type="dxa"/>
        <w:tblInd w:w="-885" w:type="dxa"/>
        <w:tblLayout w:type="fixed"/>
        <w:tblLook w:val="00A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7"/>
        <w:gridCol w:w="283"/>
        <w:gridCol w:w="14"/>
        <w:gridCol w:w="540"/>
        <w:gridCol w:w="20"/>
        <w:gridCol w:w="15"/>
        <w:gridCol w:w="72"/>
        <w:gridCol w:w="400"/>
        <w:gridCol w:w="10"/>
        <w:gridCol w:w="171"/>
        <w:gridCol w:w="244"/>
        <w:gridCol w:w="275"/>
        <w:gridCol w:w="145"/>
        <w:gridCol w:w="32"/>
        <w:gridCol w:w="24"/>
        <w:gridCol w:w="517"/>
        <w:gridCol w:w="352"/>
        <w:gridCol w:w="335"/>
        <w:gridCol w:w="520"/>
        <w:gridCol w:w="137"/>
        <w:gridCol w:w="123"/>
        <w:gridCol w:w="661"/>
        <w:gridCol w:w="37"/>
      </w:tblGrid>
      <w:tr w:rsidR="009B5FC6" w:rsidRPr="00EA4FB4" w:rsidTr="007D6688">
        <w:trPr>
          <w:gridAfter w:val="1"/>
          <w:wAfter w:w="37" w:type="dxa"/>
          <w:trHeight w:val="70"/>
        </w:trPr>
        <w:tc>
          <w:tcPr>
            <w:tcW w:w="108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keepNext/>
              <w:snapToGrid w:val="0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«Улыбка» на базе муниципального автономного общеобразовательного учреждения «Гагаринская средняя общеобразовательная школа», </w:t>
            </w:r>
          </w:p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627713 Тюменская область, Ишимский район, село Гагарино, улица Новая, дом 30</w:t>
            </w:r>
          </w:p>
        </w:tc>
      </w:tr>
      <w:tr w:rsidR="009B5FC6" w:rsidRPr="00EA4FB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627713 Тюменская область, Ишимский район, село Гагарино, улица Новая, дом 30, </w:t>
            </w:r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ru-RU"/>
              </w:rPr>
              <w:t>тел/факс (34551)3-11-98, 3-12-64,</w:t>
            </w:r>
          </w:p>
          <w:p w:rsidR="00B133EC" w:rsidRPr="00EA4FB4" w:rsidRDefault="00EB758B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hyperlink r:id="rId8" w:history="1"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Gagarinoschool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eastAsia="ru-RU"/>
                </w:rPr>
                <w:t>@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mail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eastAsia="ru-RU"/>
                </w:rPr>
                <w:t>.</w:t>
              </w:r>
              <w:r w:rsidR="00B133E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 w:eastAsia="ru-RU"/>
                </w:rPr>
                <w:t>ru</w:t>
              </w:r>
            </w:hyperlink>
          </w:p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ru-RU"/>
              </w:rPr>
              <w:t>адрес сайта:</w:t>
            </w:r>
          </w:p>
          <w:p w:rsidR="00B133EC" w:rsidRPr="00EA4FB4" w:rsidRDefault="00EB758B" w:rsidP="00B133EC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5DBC" w:rsidRPr="00EA4FB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http://gagarin.depon72.ru/</w:t>
              </w:r>
            </w:hyperlink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Расположен в с.Гагарино Ишимского района Тюменской области в 12 км от г.Ишима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627750, город Ишим, ул.Ленина, д.48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г. Ишим, ул.Ленина, д.48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8(43551)5-13-14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8(34551) 3-11-98, 3-11-61</w:t>
            </w:r>
          </w:p>
        </w:tc>
      </w:tr>
      <w:tr w:rsidR="009B5FC6" w:rsidRPr="009B5FC6" w:rsidTr="007D6688">
        <w:trPr>
          <w:gridAfter w:val="1"/>
          <w:wAfter w:w="37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FB4">
              <w:rPr>
                <w:rFonts w:ascii="Arial" w:hAnsi="Arial" w:cs="Arial"/>
                <w:sz w:val="18"/>
                <w:szCs w:val="18"/>
                <w:lang w:eastAsia="ar-SA"/>
              </w:rPr>
              <w:t>Оздоровительный лагерь с дневным пребыванием детей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102 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EA4FB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EA4FB4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От 6 до 16 лет включительно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степень износа 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ind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 этажа</w:t>
            </w:r>
          </w:p>
        </w:tc>
        <w:tc>
          <w:tcPr>
            <w:tcW w:w="6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1742,6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FB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FB4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FB4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FB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Автобусы: ПАЗ 32053; ПАЗ 32053-70;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 ПАЗ 4239-70; КВЗ 4238-05; КВЗ 423845.</w:t>
            </w:r>
          </w:p>
          <w:p w:rsidR="00EA4B4F" w:rsidRPr="00EA4B4F" w:rsidRDefault="00EA4B4F" w:rsidP="00961CD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Микроавтобусы: ГАЗ 322171; ГАЗ 322121.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9B5FC6" w:rsidRDefault="00EA4B4F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B4F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A4B4F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9B5FC6" w:rsidRDefault="00EA4B4F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4B4F" w:rsidRPr="00EA4B4F" w:rsidRDefault="00EA4B4F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4F" w:rsidRPr="00EA4B4F" w:rsidRDefault="00EA4B4F" w:rsidP="00961CD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9B5FC6" w:rsidRDefault="00B133EC" w:rsidP="00B133E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2,0 га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0,4 га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Металлическое и деревянное по периметру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Сторож 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EA4B4F" w:rsidRPr="00EA4B4F" w:rsidTr="00EA4B4F">
        <w:trPr>
          <w:gridAfter w:val="1"/>
          <w:wAfter w:w="37" w:type="dxa"/>
          <w:trHeight w:val="34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EA4B4F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EA4B4F" w:rsidTr="007D6688">
        <w:trPr>
          <w:gridAfter w:val="1"/>
          <w:wAfter w:w="37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9B5FC6" w:rsidTr="007D6688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9B5FC6" w:rsidTr="007D6688">
        <w:trPr>
          <w:gridAfter w:val="1"/>
          <w:wAfter w:w="37" w:type="dxa"/>
          <w:cantSplit/>
          <w:trHeight w:val="8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15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EA4B4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EA4B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40,2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39,8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3,6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33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  <w:trHeight w:val="4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послед-него капиталь-ного ремонта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волейбола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настольноготенниса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беговаядорожка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9600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футбольноеполе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бассейн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1996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-кинозал (количествомест)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15 мест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Игровые комнаты – 4, </w:t>
            </w: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кружковые комнаты - 3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 мест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летняяэстрада (открытаяплощадка)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наличиеаттракционов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9B5FC6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Площадь (кв.м)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9B5FC6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кабинетврача-педиатра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комнатамедицинскойсестры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кабинетзубноговрача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палатадлякапельныхинфекций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палатадлякишечныхинфекций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палатабокса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количествокоек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душеваядлябольныхдетей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- санитарныйузел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val="en-US" w:eastAsia="ar-SA"/>
              </w:rPr>
              <w:t>Другие (указатькакие)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9B5FC6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EA4B4F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EA4B4F" w:rsidRDefault="00EA4B4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+, 1 бак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1083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EA4B4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footnoteReference w:id="2"/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A4B4F">
              <w:rPr>
                <w:rFonts w:ascii="Arial" w:hAnsi="Arial" w:cs="Arial"/>
                <w:i/>
                <w:sz w:val="18"/>
                <w:szCs w:val="18"/>
              </w:rPr>
              <w:lastRenderedPageBreak/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B133EC" w:rsidRPr="00EA4B4F" w:rsidRDefault="00B133EC" w:rsidP="00B133E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</w:t>
            </w:r>
          </w:p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EA4B4F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footnoteReference w:id="3"/>
            </w:r>
            <w:r w:rsidRPr="00EA4B4F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EA4B4F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EA4B4F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EA4B4F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78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10838" w:type="dxa"/>
            <w:gridSpan w:val="32"/>
            <w:tcBorders>
              <w:bottom w:val="single" w:sz="4" w:space="0" w:color="auto"/>
            </w:tcBorders>
          </w:tcPr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ab/>
            </w: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footnoteRef/>
            </w: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vertAlign w:val="superscript"/>
                <w:lang w:eastAsia="ar-SA"/>
              </w:rPr>
              <w:t>2</w:t>
            </w: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B133EC" w:rsidRPr="00EA4B4F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A4B4F">
              <w:rPr>
                <w:rFonts w:ascii="Arial" w:hAnsi="Arial" w:cs="Arial"/>
                <w:sz w:val="18"/>
                <w:szCs w:val="18"/>
                <w:lang w:eastAsia="ar-SA"/>
              </w:rP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72" w:type="dxa"/>
            <w:gridSpan w:val="3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EA4B4F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C6657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C66575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EA4B4F">
              <w:rPr>
                <w:rFonts w:ascii="Arial" w:hAnsi="Arial" w:cs="Arial"/>
                <w:sz w:val="18"/>
                <w:szCs w:val="18"/>
              </w:rPr>
              <w:t>(втыс. руб.)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Приобретен  полный комплект посуды на всех обучающихся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A4B4F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4B4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EA4B4F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EA4B4F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EA4B4F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Руководитель организации </w:t>
      </w: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EA4B4F" w:rsidRDefault="0015671B" w:rsidP="00363023">
      <w:pPr>
        <w:rPr>
          <w:rFonts w:ascii="Arial" w:hAnsi="Arial" w:cs="Arial"/>
          <w:i/>
          <w:iCs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Директор   </w:t>
      </w:r>
      <w:r w:rsidR="00B133EC" w:rsidRPr="00EA4B4F">
        <w:rPr>
          <w:rFonts w:ascii="Arial" w:hAnsi="Arial" w:cs="Arial"/>
          <w:sz w:val="18"/>
          <w:szCs w:val="18"/>
        </w:rPr>
        <w:t>Астанина С.Р</w:t>
      </w:r>
      <w:r w:rsidRPr="00EA4B4F">
        <w:rPr>
          <w:rFonts w:ascii="Arial" w:hAnsi="Arial" w:cs="Arial"/>
          <w:sz w:val="18"/>
          <w:szCs w:val="18"/>
        </w:rPr>
        <w:t xml:space="preserve">.                                                                               </w:t>
      </w:r>
      <w:r w:rsidR="00B133EC" w:rsidRPr="00EA4B4F">
        <w:rPr>
          <w:rFonts w:ascii="Arial" w:hAnsi="Arial" w:cs="Arial"/>
          <w:sz w:val="18"/>
          <w:szCs w:val="18"/>
        </w:rPr>
        <w:t>____________________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lastRenderedPageBreak/>
        <w:t xml:space="preserve">Примечание: 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B133EC" w:rsidRPr="00EA4B4F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EA4B4F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EA4B4F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sectPr w:rsidR="00B133EC" w:rsidRPr="00EA4B4F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632" w:rsidRDefault="003D1632" w:rsidP="00E72223">
      <w:r>
        <w:separator/>
      </w:r>
    </w:p>
  </w:endnote>
  <w:endnote w:type="continuationSeparator" w:id="1">
    <w:p w:rsidR="003D1632" w:rsidRDefault="003D1632" w:rsidP="00E7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632" w:rsidRDefault="003D1632" w:rsidP="00E72223">
      <w:r w:rsidRPr="00E72223">
        <w:rPr>
          <w:color w:val="000000"/>
        </w:rPr>
        <w:separator/>
      </w:r>
    </w:p>
  </w:footnote>
  <w:footnote w:type="continuationSeparator" w:id="1">
    <w:p w:rsidR="003D1632" w:rsidRDefault="003D1632" w:rsidP="00E72223">
      <w:r>
        <w:continuationSeparator/>
      </w:r>
    </w:p>
  </w:footnote>
  <w:footnote w:id="2">
    <w:p w:rsidR="00AD61E7" w:rsidRDefault="00AD61E7" w:rsidP="007D6688">
      <w:pPr>
        <w:pStyle w:val="a8"/>
        <w:ind w:firstLine="720"/>
        <w:jc w:val="both"/>
      </w:pPr>
    </w:p>
  </w:footnote>
  <w:footnote w:id="3">
    <w:p w:rsidR="00AD61E7" w:rsidRDefault="00AD61E7" w:rsidP="007D6688">
      <w:pPr>
        <w:pStyle w:val="a8"/>
        <w:ind w:firstLine="72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2C7E75"/>
    <w:rsid w:val="002F3AE1"/>
    <w:rsid w:val="00305DD5"/>
    <w:rsid w:val="00310FD1"/>
    <w:rsid w:val="0034542B"/>
    <w:rsid w:val="00363023"/>
    <w:rsid w:val="00385BF8"/>
    <w:rsid w:val="003917BD"/>
    <w:rsid w:val="003B5147"/>
    <w:rsid w:val="003C3896"/>
    <w:rsid w:val="003D1632"/>
    <w:rsid w:val="0042784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E593D"/>
    <w:rsid w:val="007F53E0"/>
    <w:rsid w:val="00816C28"/>
    <w:rsid w:val="008220AC"/>
    <w:rsid w:val="008B70A5"/>
    <w:rsid w:val="008C1A9E"/>
    <w:rsid w:val="008C2420"/>
    <w:rsid w:val="008C56E0"/>
    <w:rsid w:val="0092369D"/>
    <w:rsid w:val="00924867"/>
    <w:rsid w:val="009409BC"/>
    <w:rsid w:val="009459CA"/>
    <w:rsid w:val="0095517A"/>
    <w:rsid w:val="00961CD5"/>
    <w:rsid w:val="009768B8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54953"/>
    <w:rsid w:val="00D81330"/>
    <w:rsid w:val="00DC48D6"/>
    <w:rsid w:val="00DD20C5"/>
    <w:rsid w:val="00DD761F"/>
    <w:rsid w:val="00DE138C"/>
    <w:rsid w:val="00E042F7"/>
    <w:rsid w:val="00E54420"/>
    <w:rsid w:val="00E72223"/>
    <w:rsid w:val="00EA4B4F"/>
    <w:rsid w:val="00EA4FB4"/>
    <w:rsid w:val="00EB758B"/>
    <w:rsid w:val="00ED1012"/>
    <w:rsid w:val="00EE1EBF"/>
    <w:rsid w:val="00EF21B2"/>
    <w:rsid w:val="00F26138"/>
    <w:rsid w:val="00F41F92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75"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garino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garin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91367-8FF6-47FC-8771-5995ED4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2017-07-25T14:53:00Z</cp:lastPrinted>
  <dcterms:created xsi:type="dcterms:W3CDTF">2017-08-16T10:50:00Z</dcterms:created>
  <dcterms:modified xsi:type="dcterms:W3CDTF">2017-08-16T10:59:00Z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