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36" w:rsidRDefault="00270E65">
      <w:r>
        <w:rPr>
          <w:noProof/>
          <w:lang w:eastAsia="ru-RU"/>
        </w:rPr>
        <w:drawing>
          <wp:inline distT="0" distB="0" distL="0" distR="0">
            <wp:extent cx="6113417" cy="7911481"/>
            <wp:effectExtent l="0" t="0" r="1905" b="0"/>
            <wp:docPr id="1" name="Рисунок 1" descr="C:\Users\User\Downloads\6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мате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09" cy="79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65" w:rsidRDefault="00270E65"/>
    <w:p w:rsidR="00270E65" w:rsidRDefault="00270E65"/>
    <w:p w:rsidR="00270E65" w:rsidRDefault="00270E65"/>
    <w:p w:rsidR="00270E65" w:rsidRDefault="00270E65"/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270E65" w:rsidRDefault="00270E65" w:rsidP="00270E65">
      <w:pPr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>
        <w:rPr>
          <w:rFonts w:ascii="Times New Roman" w:hAnsi="Times New Roman"/>
          <w:color w:val="000000"/>
          <w:sz w:val="24"/>
          <w:szCs w:val="24"/>
        </w:rPr>
        <w:t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Е.В. Буцко, А.Г. Мерзляк, В.Б. Полонский, М.С. Якир.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70E65" w:rsidRDefault="00270E65" w:rsidP="00270E65">
      <w:pPr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E65" w:rsidRDefault="00270E65" w:rsidP="00270E65">
      <w:pPr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6 классе.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обучения. Предмет «Математика» в 6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- Развитие интереса к математическому творчеству и математических способностей.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 школе математика служит опорным предметом для изучения смежных дисциплин. И наконец, всё больше специальностей, где необходим высокий уровень образования, связано с непосредственным применением математики. Таким образом, расширяется круг школьников, для которых математика становится значимым предметом.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развиваются творческая и прикладная стороны мышления.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историко-научных знаний школьников, сформировать у них представления о математике как части общечеловеческой культуры. 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филиала МАОУ Тоболовская СОШ-Карасульская СОШ  в 2018-2019 учебном году на изучение математики в 6 классе отводится 5ч в неделю (170 часов за год). 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Результаты изучения учебного предмета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математики в основной школе даёт возможность обучающимся достичь следующих результатов развития: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в личностном направлении: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в метапредметном направлении: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70E65" w:rsidRDefault="00270E65" w:rsidP="00270E6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270E65" w:rsidRDefault="00270E65" w:rsidP="00270E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 (в течение курса изучения предмета).</w:t>
      </w:r>
    </w:p>
    <w:p w:rsidR="00270E65" w:rsidRDefault="00270E65" w:rsidP="00270E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математики 6 класса 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270E65" w:rsidRDefault="00270E65" w:rsidP="00270E65">
      <w:pPr>
        <w:pStyle w:val="2"/>
        <w:shd w:val="clear" w:color="auto" w:fill="FFFFFF"/>
        <w:spacing w:line="240" w:lineRule="auto"/>
        <w:ind w:firstLine="0"/>
        <w:rPr>
          <w:sz w:val="24"/>
          <w:szCs w:val="24"/>
        </w:rPr>
      </w:pPr>
      <w:bookmarkStart w:id="0" w:name="_Toc405513918"/>
      <w:bookmarkStart w:id="1" w:name="_Toc284662796"/>
      <w:bookmarkStart w:id="2" w:name="_Toc284663423"/>
      <w:r>
        <w:rPr>
          <w:sz w:val="24"/>
          <w:szCs w:val="24"/>
        </w:rPr>
        <w:t>Элементы теории множеств и математической логики</w:t>
      </w:r>
      <w:bookmarkEnd w:id="0"/>
      <w:bookmarkEnd w:id="1"/>
      <w:bookmarkEnd w:id="2"/>
      <w:r>
        <w:rPr>
          <w:sz w:val="24"/>
          <w:szCs w:val="24"/>
        </w:rPr>
        <w:t xml:space="preserve">. </w:t>
      </w:r>
    </w:p>
    <w:p w:rsidR="00270E65" w:rsidRDefault="00270E65" w:rsidP="00270E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курса математики и предваряется ознакомлением с элементами теории множеств. </w:t>
      </w:r>
    </w:p>
    <w:p w:rsidR="00270E65" w:rsidRDefault="00270E65" w:rsidP="00270E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Высказывания.</w:t>
      </w:r>
    </w:p>
    <w:p w:rsidR="00270E65" w:rsidRDefault="00270E65" w:rsidP="00270E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Истинность и ложность высказывания</w:t>
      </w:r>
      <w:r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  <w:bookmarkStart w:id="3" w:name="_Toc405513919"/>
      <w:bookmarkStart w:id="4" w:name="_Toc284662797"/>
      <w:bookmarkStart w:id="5" w:name="_Toc284663424"/>
    </w:p>
    <w:p w:rsidR="00270E65" w:rsidRDefault="00270E65" w:rsidP="00270E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математики в 6 класс</w:t>
      </w:r>
      <w:bookmarkEnd w:id="3"/>
      <w:bookmarkEnd w:id="4"/>
      <w:bookmarkEnd w:id="5"/>
      <w:r>
        <w:rPr>
          <w:rFonts w:ascii="Times New Roman" w:hAnsi="Times New Roman"/>
          <w:b/>
          <w:sz w:val="24"/>
          <w:szCs w:val="24"/>
        </w:rPr>
        <w:t>е. (170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(3 часа)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обыкновенными и десятичными дробями. Уравнения. Решение текстовых задач.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Свойства и признаки делимости. (18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>
        <w:rPr>
          <w:rFonts w:ascii="Times New Roman" w:hAnsi="Times New Roman"/>
          <w:i/>
          <w:sz w:val="24"/>
          <w:szCs w:val="24"/>
        </w:rPr>
        <w:t>Признаки делимости на 4, 6, 8, 11.</w:t>
      </w:r>
      <w:r>
        <w:rPr>
          <w:rFonts w:ascii="Times New Roman" w:hAnsi="Times New Roman"/>
          <w:sz w:val="24"/>
          <w:szCs w:val="24"/>
        </w:rPr>
        <w:t xml:space="preserve"> Доказательство признаков делимости. Решение практических задач с применением признаков делимости.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>
        <w:rPr>
          <w:rFonts w:ascii="Times New Roman" w:hAnsi="Times New Roman"/>
          <w:i/>
          <w:sz w:val="24"/>
          <w:szCs w:val="24"/>
        </w:rPr>
        <w:t>решето Эратосфена.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Дроби. (45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Обыкновенные дроби.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</w:t>
      </w:r>
      <w:r>
        <w:rPr>
          <w:rFonts w:ascii="Times New Roman" w:hAnsi="Times New Roman"/>
          <w:sz w:val="24"/>
          <w:szCs w:val="24"/>
        </w:rPr>
        <w:tab/>
        <w:t>Способы рационализации вычислений и их применение при выполнении действий. Отношение двух чисел. Масштаб на плане и карте. Пропорции. Свойства пропорций, применение пропорций и отношений при решении задач.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Рациональные числа. (37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Положительные и отрицательные числа. 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рациональном числе. Первичное представление о множестве рациональных чисел. Действия с рациональными числами.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Алгебраические выражения. (19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Уравнение с одной переменной. Корень уравнения. Решение текстовых задач алгебраическим способом.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Координаты на плоскости. (5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текстовых задач. (36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 Задачи на все арифметические действия. Решение текстовых задач арифметическим способом. Использование таблиц, схем, чертежей, других средств представления данных при решении задачи. Задачи на движение, работу и покупки. Решение задач на совместную работу. Применение дробей при решении задач. Задачи на части, доли, проценты. Применение пропорций при решении задач. Решение несложных логических задач. Решение логических задач с помощью графов, таблиц. 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Наглядная геометрия. (7 часов)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270E65" w:rsidRDefault="00270E65" w:rsidP="0027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270E65" w:rsidRDefault="00270E65" w:rsidP="00270E65">
      <w:pPr>
        <w:pStyle w:val="3"/>
        <w:shd w:val="clear" w:color="auto" w:fill="FFFFFF"/>
        <w:spacing w:before="0" w:beforeAutospacing="0" w:after="0" w:afterAutospac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История математики (в течение курса изучения предмета).</w:t>
      </w:r>
    </w:p>
    <w:p w:rsidR="00270E65" w:rsidRDefault="00270E65" w:rsidP="00270E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десятичной записи чисел. 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270E65" w:rsidRDefault="00270E65" w:rsidP="00270E6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0E65" w:rsidRDefault="00270E65" w:rsidP="00270E6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270E65">
          <w:pgSz w:w="12240" w:h="15840"/>
          <w:pgMar w:top="1134" w:right="850" w:bottom="1134" w:left="1560" w:header="720" w:footer="720" w:gutter="0"/>
          <w:cols w:space="720"/>
        </w:sect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70E65" w:rsidRDefault="00270E65" w:rsidP="00270E65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993"/>
        <w:gridCol w:w="5103"/>
        <w:gridCol w:w="5528"/>
        <w:gridCol w:w="1134"/>
      </w:tblGrid>
      <w:tr w:rsidR="00270E65" w:rsidTr="00270E65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содержание</w:t>
            </w:r>
          </w:p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темам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270E65" w:rsidTr="00270E65">
        <w:trPr>
          <w:trHeight w:val="17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с обыкновенными и десятичными дробями. Уравнения. Решение текстовых задач.</w:t>
            </w:r>
          </w:p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и записывать обыкновенные и десятичные дроби, сравнивать и упорядочивать их. Выполнять арифметические действия с дробями. Решать уравнения.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0E65" w:rsidTr="00270E65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Свойства и признаки делимости.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Свойство делимости суммы (разности) на число. Признаки делимости на 2, 3, 5, 9, 10.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Признаки делимости на 4, 6, 8, 11.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Доказательство признаков делимости. Решение практических задач с применением признаков делимости.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решето Эратосфена.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определения делителя и кратного, простого и составного числа, свойства и признаки делимости. Доказывать и опровергать с помощью контрпримеров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Исследовать простейшие числовые закономерности, проводить числовые эксперименты (в том числе с использованием калькулятора, компьютера).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Дроби.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Обыкновенные дроби.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Способы рационализации вычислений и их применение при выполнении действий. Отношение двух чисел. Масштаб на плане и карте. Пропорции. Свойства пропорций, применение пропорций и отношений при решении задач.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дробями.. Объяснять, что такое отношение, пропорция. Знать основное свойство пропорции и уметь применять его при решении задач.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Рациональные числа.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Положительные и отрицательные числа. Изображение чисел на числовой (координатной) прямой. Сравнение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чисел. Модуль числа, геометрическая интерпретация модуля числа. Действия с положительными и отрицательными числами. Множество целых чисел. </w:t>
            </w:r>
          </w:p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рациональном числе. Первичное представление о множестве рациональных чисел. Действия с рациональными числами.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Приводить примеры использования в окружающем мире положительных и отрицательных чисел (температура,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выигрыш-проигрыш, и т. п.).</w:t>
            </w:r>
          </w:p>
          <w:p w:rsidR="00270E65" w:rsidRDefault="00270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Изображать точками координатной прямой положи тельные и отрицательные рациональные числа.</w:t>
            </w:r>
          </w:p>
          <w:p w:rsidR="00270E65" w:rsidRDefault="00270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Характеризовать множество целых чисел, множество рациональных чисел. Сравнивать и упорядочивать рациональные числа, выполнять вычисления с рациональными числами. Формулировать и записывать с помощью букв свойства сложения, вычитания, умножения и деления положительных и отрицательных чисел.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Алгебраические выражения.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Уравнение с одной переменной. Корень уравнения. Решение текстовых задач алгебраическим способом.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и записывать буквенные выражения, составлять буквенные выражения по условиям задач.  Вычислять числовое значение буквенного выражения при заданных значениях букв.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уравнения   по  условиям  задач.  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Координаты на плоскости.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Столбчатые и круговые диаграммы. Извлечение информации из диаграмм. Изображение диаграмм по числовым данным.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Строить на координатной плоскости точки и фигуры по заданным координатам, определять координаты точек. Извлекать информацию из таблиц и диаграмм, выполнять вычисления  по табличным данным, сравнивать величины, находить наибольшие и наименьшие значения и др. Выполнять сбор информации в несложных случаях, организовывать информацию в виде таблиц и диаграмм, в том числе с помощью компьютерных программ.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текстовых задач.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 Задачи на все арифметические действия. Решение текстовых задач арифметическим способом. Использование таблиц, схем, чертежей, других средств представления данных при решении задачи. Задачи на движение, работу и покупки. Решение задач на совместную работу. Применение дробей при решении задач. Задачи на части, доли, проценты. Применение пропорций при решении задач. Решение несложных логических задач. Решение логических задач с помощью графов, таблиц.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Извлекать информацию из таблиц и диаграмм, выполнять вычисления по табличным данным. Выполнять сбор информации в несложных случаях.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0E65" w:rsidTr="00270E65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Наглядная геометрия.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Фигуры в окружающем мире. Наглядные представления о фигурах на плоскости: прямая, отрезок, луч, угол,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      </w:r>
          </w:p>
          <w:p w:rsidR="00270E65" w:rsidRDefault="00270E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практических задач с применением простейших свойств фигур.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на чертежах, рисунках, в окружающем мире геометрические фигуры, конфигурации фигур (плоские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270E65" w:rsidTr="00270E65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170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270E65" w:rsidRDefault="00270E65" w:rsidP="00270E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270E65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270E65" w:rsidRDefault="00270E65" w:rsidP="00270E65">
      <w:pPr>
        <w:pStyle w:val="ListParagraph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/>
          <w:sz w:val="24"/>
          <w:szCs w:val="24"/>
        </w:rPr>
        <w:t>ноутбук; мультимедийный проектор; компьютеры; интерактивная доска.</w:t>
      </w:r>
    </w:p>
    <w:p w:rsidR="00270E65" w:rsidRDefault="00270E65" w:rsidP="00270E65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Наглядные пособия: </w:t>
      </w:r>
      <w:r>
        <w:rPr>
          <w:rFonts w:ascii="Times New Roman" w:hAnsi="Times New Roman"/>
          <w:sz w:val="24"/>
          <w:szCs w:val="24"/>
          <w:lang w:eastAsia="ru-RU"/>
        </w:rPr>
        <w:t>развертки фигур; объемные геометрические фигуры.</w:t>
      </w:r>
    </w:p>
    <w:p w:rsidR="00270E65" w:rsidRDefault="00270E65" w:rsidP="00270E65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Интернет - ресурсы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-93"/>
        <w:contextualSpacing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850"/>
        <w:gridCol w:w="2693"/>
        <w:gridCol w:w="4862"/>
      </w:tblGrid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270E65" w:rsidTr="00270E65">
        <w:trPr>
          <w:trHeight w:val="236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«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ЭУРепетиторпоматематике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УчебныйцентрМИКОН</w:t>
            </w:r>
          </w:p>
        </w:tc>
      </w:tr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ЭУ Витаминный 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Руссобит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a5"/>
                  <w:sz w:val="24"/>
                  <w:szCs w:val="24"/>
                  <w:lang w:val="en-US"/>
                </w:rPr>
                <w:t>http</w:t>
              </w:r>
            </w:hyperlink>
            <w:hyperlink r:id="rId10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>
                <w:rPr>
                  <w:rStyle w:val="a5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>
                <w:rPr>
                  <w:rStyle w:val="a5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>
                <w:rPr>
                  <w:rStyle w:val="a5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>
                <w:rPr>
                  <w:rStyle w:val="a5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>
                <w:rPr>
                  <w:rStyle w:val="a5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1" w:history="1"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>
                <w:rPr>
                  <w:rStyle w:val="a5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>
                <w:rPr>
                  <w:rStyle w:val="a5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>
                <w:rPr>
                  <w:rStyle w:val="a5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270E65" w:rsidTr="00270E6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5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270E65" w:rsidRDefault="00270E6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70E65" w:rsidRDefault="00270E65" w:rsidP="00270E65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0E65" w:rsidRDefault="00270E65" w:rsidP="00270E65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: </w:t>
      </w:r>
    </w:p>
    <w:p w:rsidR="00270E65" w:rsidRDefault="00270E65" w:rsidP="00270E65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Рудницкая В.Н. Дидактические материалы по математике: 6 класс к учебнику И.И. Зубаревой, А.Г. Мордковича «Математика. 6 класс»: М: «Экзамен»,2014.</w:t>
      </w:r>
    </w:p>
    <w:p w:rsidR="00270E65" w:rsidRDefault="00270E65" w:rsidP="00270E65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Ключникова Е.М. промежуточное тестирование. Математика 6 класс. М: «Экзамен»,2014</w:t>
      </w:r>
    </w:p>
    <w:p w:rsidR="00270E65" w:rsidRDefault="00270E65" w:rsidP="00270E65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Зубарева И.И. Математика. 6 класс. Самостоятельные работы для учащихся ОУ М: Мнемозина, 2013</w:t>
      </w:r>
    </w:p>
    <w:p w:rsidR="00270E65" w:rsidRDefault="00270E65" w:rsidP="00270E65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Рудницкая В.Н. Тесты по математике: 6 класс к учебнику А.Г. Мордкович «Математика. 5 класс» М.: «Экзамен», 2013.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6 класса научится (для использования в повседневной жизни и обеспечения возможности успешного продолжения образования на базовом уровне).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оперировать на базовом уровне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множества перечислением их элементов;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логически некорректные высказывания.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оперировать на базовом уровне понятиями: обыкновенная дробь, десятичная дробь, смешанное число, рациональное число, целое число;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свойства чисел при выполнении вычислений;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арифметические действия с данными числами в соответствии с правилами;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результаты вычислений при решении практических задач;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сравнение чисел в реальных ситуациях;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числовые выражения при решении практических задач и задач из других учебных предметов.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данные в виде таблиц, диаграмм;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информацию, представленную в виде таблицы, диаграммы.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несложные сюжетные задачи разных типов на все арифметические действия;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план решения задачи;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этапы решения задачи;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интерпретировать вычислительные результаты в задаче, исследовать полученное решение задачи;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задачи разных типов (на работу, на покупки, на движение), связывающих три величины, выделять эти величины и отношения между ними, составлять пропорцию;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несложные логические задачи методом рассуждений.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гипотезы о возможных предельных значениях искомых величин в задаче (делать прикидку)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оперировать на базовом уровне понятиями: фигура, 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очка, отрезок, прямая, луч, угол, многоугольник, треугольник и четырёхугольник, прямоугольник и квадрат, окружность и круг, прямоугольный параллелепипед, куб; изображать изучаемые фигуры от руки и с помощью линейки и циркуля.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решать практические задачи с применением простейших свойств фигур.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измерение длин, расстояний, величин углов, с помощью инструментов для измерений длин и углов;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вычислять расстояния на местности и на карте в стандартных ситуациях;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выполнять простейшие построения и измерения на местности, необходимые в реальной жизни.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отдельные выдающиеся результаты, полученные в ходе развития математики как науки;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примеры математических открытий и их авторов, в связи с отечественной и всемирной историей.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6" w:name="_Toc284662720"/>
      <w:bookmarkStart w:id="7" w:name="_Toc284663346"/>
      <w:r>
        <w:rPr>
          <w:rFonts w:ascii="Times New Roman" w:hAnsi="Times New Roman"/>
          <w:b/>
          <w:bCs/>
          <w:i/>
          <w:sz w:val="24"/>
          <w:szCs w:val="24"/>
        </w:rPr>
        <w:t>Ученик 6 класса получит возможность научиться (для обеспечения возможности успешного продолжения образования на базовом и углублённом уровнях)</w:t>
      </w:r>
      <w:bookmarkEnd w:id="6"/>
      <w:bookmarkEnd w:id="7"/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оперировать</w:t>
      </w:r>
      <w:r>
        <w:rPr>
          <w:rFonts w:ascii="Times New Roman" w:hAnsi="Times New Roman"/>
          <w:i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распознавать логически некорректные высказывания;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строить цепочки умозаключений на основе использования правил логики.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Числа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понимать и объяснять смысл позиционной записи рационального числа;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упорядочивать числа, записанные в виде обыкновенных дробей, целых чисел, рациональных чисел;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применять правила приближенных вычислений при решении практических задач и решении задач других учебных предметов;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выполнять сравнение результатов вычислений при решении практических задач, в том числе приближенных вычислений;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составлять числовые выражения и оценивать их значения при решении практических задач и задач из других учебных предметов.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оперировать понятиями: столбчатые и круговые диаграммы, таблицы данных, среднее арифметическое,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извлекать, информацию, представленную в таблицах, на диаграммах;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составлять таблицы, строить диаграммы на основе данных.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решать простые и сложные задачи разных типов, а также задачи повышенной трудности;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использовать разные краткие записи как модели текстов сложных задач для построения поисковой схемы и решения задач;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- знать и применять оба способа поиска решения задач (от требования к условию и от условия к требованию);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моделировать рассуждения при поиске решения задач с помощью граф-схемы;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выделять этапы решения задачи и содержание каждого этапа;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интерпретировать вычислительные результаты в задаче, исследовать полученное решение задачи;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исследовать всевозможные ситуации при решении задач на движение по реке, рассматривать разные системы отсчёта;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решать разнообразные задачи «на части»,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выделять при решении задач характеристики рассматриваемой в задаче ситуации, отличные от реальных,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извлекать, интерпретировать и преобразовывать информацию о геометрических фигурах, представленную на чертежах;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изображать изучаемые фигуры от руки и с помощью компьютерных инструментов.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выполнять измерение длин, расстояний, величин углов, с помощью инструментов для измерений длин и углов;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вычислять расстояния на местности в стандартных ситуациях, площади участков прямоугольной формы, объёмы комнат;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выполнять простейшие построения на местности, необходимые в реальной жизни; 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оценивать размеры реальных объектов окружающего мира.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математики.</w:t>
      </w:r>
    </w:p>
    <w:p w:rsidR="00270E65" w:rsidRDefault="00270E65" w:rsidP="00270E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характеризовать вклад выдающихся математиков в развитие математики и иных научных областей.</w:t>
      </w:r>
    </w:p>
    <w:p w:rsidR="00270E65" w:rsidRDefault="00270E65">
      <w:bookmarkStart w:id="8" w:name="_GoBack"/>
      <w:bookmarkEnd w:id="8"/>
    </w:p>
    <w:sectPr w:rsidR="0027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51" w:rsidRDefault="006B1E51" w:rsidP="00270E65">
      <w:pPr>
        <w:spacing w:after="0" w:line="240" w:lineRule="auto"/>
      </w:pPr>
      <w:r>
        <w:separator/>
      </w:r>
    </w:p>
  </w:endnote>
  <w:endnote w:type="continuationSeparator" w:id="0">
    <w:p w:rsidR="006B1E51" w:rsidRDefault="006B1E51" w:rsidP="0027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51" w:rsidRDefault="006B1E51" w:rsidP="00270E65">
      <w:pPr>
        <w:spacing w:after="0" w:line="240" w:lineRule="auto"/>
      </w:pPr>
      <w:r>
        <w:separator/>
      </w:r>
    </w:p>
  </w:footnote>
  <w:footnote w:type="continuationSeparator" w:id="0">
    <w:p w:rsidR="006B1E51" w:rsidRDefault="006B1E51" w:rsidP="00270E65">
      <w:pPr>
        <w:spacing w:after="0" w:line="240" w:lineRule="auto"/>
      </w:pPr>
      <w:r>
        <w:continuationSeparator/>
      </w:r>
    </w:p>
  </w:footnote>
  <w:footnote w:id="1">
    <w:p w:rsidR="00270E65" w:rsidRDefault="00270E65" w:rsidP="00270E65">
      <w:pPr>
        <w:pStyle w:val="a7"/>
        <w:rPr>
          <w:rFonts w:ascii="Times New Roman" w:hAnsi="Times New Roman"/>
          <w:sz w:val="20"/>
          <w:szCs w:val="20"/>
        </w:rPr>
      </w:pPr>
      <w:r>
        <w:rPr>
          <w:rStyle w:val="a8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270E65" w:rsidRDefault="00270E65" w:rsidP="00270E65">
      <w:pPr>
        <w:pStyle w:val="a7"/>
      </w:pPr>
      <w:r>
        <w:rPr>
          <w:rStyle w:val="a8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ECE3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35"/>
    <w:rsid w:val="00270E65"/>
    <w:rsid w:val="00424635"/>
    <w:rsid w:val="006B1E51"/>
    <w:rsid w:val="00E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270E6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270E6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E6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270E65"/>
    <w:rPr>
      <w:rFonts w:ascii="Times New Roman" w:eastAsia="Calibri" w:hAnsi="Times New Roman" w:cs="Times New Roman"/>
      <w:sz w:val="28"/>
      <w:szCs w:val="27"/>
      <w:lang w:eastAsia="ru-RU"/>
    </w:rPr>
  </w:style>
  <w:style w:type="character" w:styleId="a5">
    <w:name w:val="Hyperlink"/>
    <w:basedOn w:val="a0"/>
    <w:semiHidden/>
    <w:unhideWhenUsed/>
    <w:rsid w:val="00270E6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270E65"/>
    <w:rPr>
      <w:rFonts w:ascii="Calibri" w:eastAsia="Calibri" w:hAnsi="Calibri"/>
    </w:rPr>
  </w:style>
  <w:style w:type="paragraph" w:styleId="a7">
    <w:name w:val="footnote text"/>
    <w:aliases w:val="Знак6,F1"/>
    <w:basedOn w:val="a"/>
    <w:link w:val="a6"/>
    <w:semiHidden/>
    <w:unhideWhenUsed/>
    <w:rsid w:val="00270E65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270E65"/>
    <w:rPr>
      <w:sz w:val="20"/>
      <w:szCs w:val="20"/>
    </w:rPr>
  </w:style>
  <w:style w:type="paragraph" w:customStyle="1" w:styleId="ListParagraph">
    <w:name w:val="List Paragraph"/>
    <w:basedOn w:val="a"/>
    <w:rsid w:val="00270E65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otnote reference"/>
    <w:basedOn w:val="a0"/>
    <w:semiHidden/>
    <w:unhideWhenUsed/>
    <w:rsid w:val="00270E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270E6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270E6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E6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270E65"/>
    <w:rPr>
      <w:rFonts w:ascii="Times New Roman" w:eastAsia="Calibri" w:hAnsi="Times New Roman" w:cs="Times New Roman"/>
      <w:sz w:val="28"/>
      <w:szCs w:val="27"/>
      <w:lang w:eastAsia="ru-RU"/>
    </w:rPr>
  </w:style>
  <w:style w:type="character" w:styleId="a5">
    <w:name w:val="Hyperlink"/>
    <w:basedOn w:val="a0"/>
    <w:semiHidden/>
    <w:unhideWhenUsed/>
    <w:rsid w:val="00270E6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270E65"/>
    <w:rPr>
      <w:rFonts w:ascii="Calibri" w:eastAsia="Calibri" w:hAnsi="Calibri"/>
    </w:rPr>
  </w:style>
  <w:style w:type="paragraph" w:styleId="a7">
    <w:name w:val="footnote text"/>
    <w:aliases w:val="Знак6,F1"/>
    <w:basedOn w:val="a"/>
    <w:link w:val="a6"/>
    <w:semiHidden/>
    <w:unhideWhenUsed/>
    <w:rsid w:val="00270E65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270E65"/>
    <w:rPr>
      <w:sz w:val="20"/>
      <w:szCs w:val="20"/>
    </w:rPr>
  </w:style>
  <w:style w:type="paragraph" w:customStyle="1" w:styleId="ListParagraph">
    <w:name w:val="List Paragraph"/>
    <w:basedOn w:val="a"/>
    <w:rsid w:val="00270E65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otnote reference"/>
    <w:basedOn w:val="a0"/>
    <w:semiHidden/>
    <w:unhideWhenUsed/>
    <w:rsid w:val="00270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4861</Words>
  <Characters>27714</Characters>
  <Application>Microsoft Office Word</Application>
  <DocSecurity>0</DocSecurity>
  <Lines>230</Lines>
  <Paragraphs>65</Paragraphs>
  <ScaleCrop>false</ScaleCrop>
  <Company>SPecialiST RePack</Company>
  <LinksUpToDate>false</LinksUpToDate>
  <CharactersWithSpaces>32510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2018-11-13T15:24:00Z</dcterms:created>
  <dcterms:modified xsi:type="dcterms:W3CDTF">2018-11-13T15:25:00Z</dcterms:modified>
</cp:coreProperties>
</file>