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0D" w:rsidRPr="00A91028" w:rsidRDefault="00426E4E" w:rsidP="00A9102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i/>
        </w:rPr>
      </w:pPr>
      <w:bookmarkStart w:id="0" w:name="_GoBack"/>
      <w:r w:rsidRPr="00426E4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391119" cy="9439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12" cy="944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910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</w:t>
      </w:r>
      <w:r w:rsid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DD1" w:rsidRPr="004A0DD1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Pr="00D007CC" w:rsidRDefault="00C53C0D" w:rsidP="00C53C0D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метапредметные: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 xml:space="preserve">дом </w:t>
      </w:r>
      <w:r>
        <w:rPr>
          <w:rFonts w:ascii="Times New Roman" w:hAnsi="Times New Roman"/>
        </w:rPr>
        <w:lastRenderedPageBreak/>
        <w:t>подобия;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исследования свойств планиметрических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>сти и равносос</w:t>
      </w:r>
      <w:r>
        <w:rPr>
          <w:rFonts w:ascii="Times New Roman" w:hAnsi="Times New Roman"/>
        </w:rPr>
        <w:softHyphen/>
        <w:t>тавленности;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свойств прямых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 xml:space="preserve">ния вектора на число, применяя при необходимости </w:t>
      </w:r>
      <w:r>
        <w:rPr>
          <w:rFonts w:ascii="Times New Roman" w:hAnsi="Times New Roman"/>
        </w:rPr>
        <w:lastRenderedPageBreak/>
        <w:t>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Использовать приобретённые знания и умения в практической деятельности и повседневной жизни для: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A0DD1" w:rsidRDefault="004A0DD1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6342C8" w:rsidRDefault="006342C8" w:rsidP="00CE772A">
      <w:pPr>
        <w:pStyle w:val="Textbody"/>
        <w:ind w:left="707"/>
      </w:pPr>
    </w:p>
    <w:p w:rsidR="00C53C0D" w:rsidRPr="0032291F" w:rsidRDefault="00A91028" w:rsidP="0032291F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тем учебного курса</w:t>
      </w:r>
      <w:r w:rsidR="003229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C0D" w:rsidRPr="0032291F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C53C0D" w:rsidRDefault="0032291F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 класс. 68 </w:t>
      </w:r>
      <w:r w:rsidR="00C53C0D">
        <w:rPr>
          <w:rFonts w:ascii="Times New Roman" w:hAnsi="Times New Roman"/>
          <w:b/>
        </w:rPr>
        <w:t>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</w:t>
      </w:r>
      <w:r w:rsidR="00934AFD">
        <w:rPr>
          <w:rFonts w:ascii="Times New Roman" w:hAnsi="Times New Roman"/>
          <w:b/>
        </w:rPr>
        <w:t xml:space="preserve"> – </w:t>
      </w:r>
      <w:r w:rsidR="00934AFD" w:rsidRPr="00934AFD">
        <w:rPr>
          <w:rFonts w:ascii="Times New Roman" w:hAnsi="Times New Roman"/>
          <w:b/>
          <w:color w:val="FF0000"/>
        </w:rPr>
        <w:t>2 часа</w:t>
      </w:r>
      <w:r>
        <w:rPr>
          <w:rFonts w:ascii="Times New Roman" w:hAnsi="Times New Roman"/>
          <w:b/>
        </w:rPr>
        <w:t>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Параллельные прямые. Основное свойство параллельных прямых. Признаки параллельности прямых. Сумма углов треугольника. Внешний угол треугольника. Признаки равенства прямоугольных треугольников. Расстояние от точки до прямой. Расстояние между параллельными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C53C0D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32291F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контрольных работ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32291F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</w:rPr>
        <w:lastRenderedPageBreak/>
        <w:t>программы основного общего образования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>щимися всех трёх групп результатов образования: личностных, метапредмет</w:t>
      </w:r>
      <w:r>
        <w:rPr>
          <w:rFonts w:ascii="Times New Roman" w:hAnsi="Times New Roman"/>
        </w:rPr>
        <w:softHyphen/>
        <w:t>ных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Реальные достижения учащихся могут соответствовать базовому уровню, а могут отличаться от него как в сторону превышения, так и в сторону недостижения.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>достижения планируемых результатов отличаются по полноте освоения планируемых результатов, уровню овладения учебными действиями и сформированностью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lastRenderedPageBreak/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</w:t>
      </w:r>
      <w:r>
        <w:rPr>
          <w:rFonts w:ascii="Times New Roman" w:hAnsi="Times New Roman"/>
        </w:rPr>
        <w:lastRenderedPageBreak/>
        <w:t>неполнотой охвата основных признаков определяемого понятия или заменой одного - двух из этих признаков второстепенными;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8A1D73">
      <w:pPr>
        <w:pStyle w:val="Textbody"/>
        <w:rPr>
          <w:rFonts w:ascii="Times New Roman" w:hAnsi="Times New Roman"/>
        </w:rPr>
      </w:pP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</w:pPr>
      <w:r>
        <w:t> </w:t>
      </w:r>
    </w:p>
    <w:p w:rsidR="00C33466" w:rsidRPr="00632428" w:rsidRDefault="00C33466" w:rsidP="004A29C1">
      <w:pPr>
        <w:spacing w:after="0" w:line="240" w:lineRule="auto"/>
        <w:rPr>
          <w:b/>
          <w:sz w:val="28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421D25" w:rsidRDefault="00421D25" w:rsidP="00D748C4"/>
    <w:sectPr w:rsidR="00421D25" w:rsidSect="006342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D73" w:rsidRDefault="008A1D73" w:rsidP="00F43507">
      <w:pPr>
        <w:spacing w:after="0" w:line="240" w:lineRule="auto"/>
      </w:pPr>
      <w:r>
        <w:separator/>
      </w:r>
    </w:p>
  </w:endnote>
  <w:end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D73" w:rsidRDefault="008A1D73" w:rsidP="00F43507">
      <w:pPr>
        <w:spacing w:after="0" w:line="240" w:lineRule="auto"/>
      </w:pPr>
      <w:r>
        <w:separator/>
      </w:r>
    </w:p>
  </w:footnote>
  <w:foot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8"/>
  </w:num>
  <w:num w:numId="5">
    <w:abstractNumId w:val="18"/>
  </w:num>
  <w:num w:numId="6">
    <w:abstractNumId w:val="14"/>
  </w:num>
  <w:num w:numId="7">
    <w:abstractNumId w:val="34"/>
  </w:num>
  <w:num w:numId="8">
    <w:abstractNumId w:val="33"/>
  </w:num>
  <w:num w:numId="9">
    <w:abstractNumId w:val="2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31"/>
  </w:num>
  <w:num w:numId="18">
    <w:abstractNumId w:val="26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20"/>
  </w:num>
  <w:num w:numId="24">
    <w:abstractNumId w:val="13"/>
  </w:num>
  <w:num w:numId="25">
    <w:abstractNumId w:val="29"/>
  </w:num>
  <w:num w:numId="26">
    <w:abstractNumId w:val="11"/>
  </w:num>
  <w:num w:numId="27">
    <w:abstractNumId w:val="24"/>
  </w:num>
  <w:num w:numId="28">
    <w:abstractNumId w:val="1"/>
  </w:num>
  <w:num w:numId="29">
    <w:abstractNumId w:val="30"/>
  </w:num>
  <w:num w:numId="30">
    <w:abstractNumId w:val="21"/>
  </w:num>
  <w:num w:numId="31">
    <w:abstractNumId w:val="4"/>
  </w:num>
  <w:num w:numId="32">
    <w:abstractNumId w:val="25"/>
  </w:num>
  <w:num w:numId="33">
    <w:abstractNumId w:val="17"/>
  </w:num>
  <w:num w:numId="34">
    <w:abstractNumId w:val="32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F360C"/>
    <w:rsid w:val="00222618"/>
    <w:rsid w:val="00223F6D"/>
    <w:rsid w:val="002544BF"/>
    <w:rsid w:val="00272BF1"/>
    <w:rsid w:val="002A18DB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26E4E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E7D74"/>
    <w:rsid w:val="005F305B"/>
    <w:rsid w:val="00601FE8"/>
    <w:rsid w:val="00622DF0"/>
    <w:rsid w:val="00624760"/>
    <w:rsid w:val="006342C8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A1D73"/>
    <w:rsid w:val="008C1229"/>
    <w:rsid w:val="008D2293"/>
    <w:rsid w:val="008F3057"/>
    <w:rsid w:val="009052DD"/>
    <w:rsid w:val="009131B4"/>
    <w:rsid w:val="00921E2C"/>
    <w:rsid w:val="0092216B"/>
    <w:rsid w:val="00931B52"/>
    <w:rsid w:val="00934AFD"/>
    <w:rsid w:val="00943BF7"/>
    <w:rsid w:val="00973B59"/>
    <w:rsid w:val="00973F21"/>
    <w:rsid w:val="00975577"/>
    <w:rsid w:val="00981142"/>
    <w:rsid w:val="009930CC"/>
    <w:rsid w:val="009F4C49"/>
    <w:rsid w:val="009F693E"/>
    <w:rsid w:val="00A129B4"/>
    <w:rsid w:val="00A35250"/>
    <w:rsid w:val="00A3726B"/>
    <w:rsid w:val="00A64DDA"/>
    <w:rsid w:val="00A657D0"/>
    <w:rsid w:val="00A91028"/>
    <w:rsid w:val="00AB4486"/>
    <w:rsid w:val="00B10F37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AE8FA-F7DA-42DC-924A-E9FCFCD6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40C6-0B10-4353-8525-8856FA66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2882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17</cp:revision>
  <cp:lastPrinted>2019-08-21T12:00:00Z</cp:lastPrinted>
  <dcterms:created xsi:type="dcterms:W3CDTF">2017-08-21T07:05:00Z</dcterms:created>
  <dcterms:modified xsi:type="dcterms:W3CDTF">2020-11-06T04:53:00Z</dcterms:modified>
</cp:coreProperties>
</file>