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CB" w:rsidRDefault="00322C7B" w:rsidP="00322C7B">
      <w:pPr>
        <w:pStyle w:val="a3"/>
        <w:jc w:val="center"/>
        <w:rPr>
          <w:b/>
        </w:rPr>
      </w:pPr>
      <w:r>
        <w:rPr>
          <w:b/>
        </w:rPr>
        <w:t xml:space="preserve">Аннотация по предмету </w:t>
      </w:r>
      <w:r w:rsidRPr="001168A9">
        <w:rPr>
          <w:b/>
        </w:rPr>
        <w:t>«Изобразительное искусство»</w:t>
      </w:r>
      <w:r>
        <w:rPr>
          <w:b/>
        </w:rPr>
        <w:t xml:space="preserve"> 6 класс</w:t>
      </w:r>
    </w:p>
    <w:p w:rsidR="00901DCB" w:rsidRPr="00901DCB" w:rsidRDefault="00901DCB" w:rsidP="00901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1D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proofErr w:type="gramStart"/>
      <w:r w:rsidRPr="00901D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  «</w:t>
      </w:r>
      <w:proofErr w:type="gramEnd"/>
      <w:r w:rsidRPr="00901D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Изобразительное искусство» в 6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</w:t>
      </w:r>
      <w:proofErr w:type="spellStart"/>
      <w:r w:rsidRPr="00901D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901DC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01DCB" w:rsidRPr="00901DCB" w:rsidRDefault="00901DCB" w:rsidP="00901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D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 соответствует основной образовательной программе и учебному плану филиала МАОУ «</w:t>
      </w:r>
      <w:proofErr w:type="spellStart"/>
      <w:proofErr w:type="gramStart"/>
      <w:r w:rsidRPr="00901D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Прииртышская</w:t>
      </w:r>
      <w:proofErr w:type="spellEnd"/>
      <w:r w:rsidRPr="00901D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СОШ</w:t>
      </w:r>
      <w:proofErr w:type="gramEnd"/>
      <w:r w:rsidRPr="00901D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- «</w:t>
      </w:r>
      <w:proofErr w:type="spellStart"/>
      <w:r w:rsidRPr="00901D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Полуяновская</w:t>
      </w:r>
      <w:proofErr w:type="spellEnd"/>
      <w:r w:rsidRPr="00901D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СОШ»  на 2019-2020 учебный год.</w:t>
      </w:r>
      <w:r w:rsidRPr="00901D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изучение предмета отводится 1 ч в неделю,  34 ч в год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322C7B" w:rsidRPr="001168A9" w:rsidRDefault="00322C7B" w:rsidP="00322C7B">
      <w:pPr>
        <w:pStyle w:val="a3"/>
        <w:jc w:val="center"/>
        <w:rPr>
          <w:b/>
        </w:rPr>
      </w:pPr>
      <w:r w:rsidRPr="001168A9">
        <w:rPr>
          <w:b/>
        </w:rPr>
        <w:t>Планируемые результаты освоения учебного предмета «Изобразительное искусство»</w:t>
      </w:r>
    </w:p>
    <w:p w:rsidR="00322C7B" w:rsidRPr="001168A9" w:rsidRDefault="00322C7B" w:rsidP="00322C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1) формирование основ художественной культуры обучающихся как части их общей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духовнойкультуры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, как особого способа познания жизни и средства организации общения; развитие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эстетического,эмоционально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-ценностного видения окружающего мира; развитие наблюдательности, способности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ксопереживанию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зрительной памяти, ассоциативного мышления, художественного вкуса и творческого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2) развитие визуально-пространственного мышления как формы эмоционально-ценностного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освоениямира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самовыражения и ориентации в художественном и нравственном пространстве культуры;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3) освоение художественной культуры во всем многообразии ее видов, жанров и стилей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какматериального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выражения духовных ценностей, воплощенных в пространственных формах (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фольклорноехудожественное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творчество разных народов, классические произведения отечественного 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зарубежногоискусства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искусство современности);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4) воспитание уважения к истории культуры своего Отечества, выраженной в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архитектуре,изобразительном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искусстве, в национальных образах предметно-материальной и пространственной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среды,в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понимании красоты человека;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5) приобретение опыта создания художественного образа в разных видах 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жанрахвизуально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6) приобретение опыта работы различными художественными материалами и в разных техниках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вразличных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видах визуально пространственных искусств, в специфических формах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художественнойдеятельности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, в том числе базирующихся на ИКТ (цифровая фотография, видеозапись,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компьютернаяграфика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мультипликация и анимация);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7) развитие потребности в общении с произведениями изобразительного искусства,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освоениепрактических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умений и навыков восприятия, интерпретации и оценки произведений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искусстваформирование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или личностно-значимой ценности</w:t>
      </w:r>
    </w:p>
    <w:p w:rsidR="00322C7B" w:rsidRPr="001168A9" w:rsidRDefault="00322C7B" w:rsidP="00322C7B">
      <w:pPr>
        <w:shd w:val="clear" w:color="auto" w:fill="FFFFFF"/>
        <w:tabs>
          <w:tab w:val="left" w:pos="33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7251"/>
        <w:gridCol w:w="7251"/>
      </w:tblGrid>
      <w:tr w:rsidR="00322C7B" w:rsidRPr="001168A9" w:rsidTr="00957D22">
        <w:tc>
          <w:tcPr>
            <w:tcW w:w="7251" w:type="dxa"/>
          </w:tcPr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322C7B" w:rsidRPr="001168A9" w:rsidTr="00957D22">
        <w:tc>
          <w:tcPr>
            <w:tcW w:w="7251" w:type="dxa"/>
          </w:tcPr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уникального народного искусства, семантическое значение традиционных образов, мотивов </w:t>
            </w: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(древо жизни, птица, солярные знаки); создавать декоративные изображения на основе русских образов;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и материалы декоративно-прикладного искусства;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практическими навыками выразительного использования фактуры, цвета, формы, объема, пространства в </w:t>
            </w: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процессе создания в конкретном материале плоскостных или объемных декоративных композиций;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22C7B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Pr="001168A9" w:rsidRDefault="00322C7B" w:rsidP="00322C7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68A9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(9 часов)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168A9">
        <w:rPr>
          <w:rFonts w:ascii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ном строе избы (небо, земля,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-водный мир).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небо,  пол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ментов.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lastRenderedPageBreak/>
        <w:t>Форма и декор женских головных уборов. Выражение идеи це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кое значение.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168A9">
        <w:rPr>
          <w:rFonts w:ascii="Times New Roman" w:hAnsi="Times New Roman" w:cs="Times New Roman"/>
          <w:b/>
          <w:sz w:val="24"/>
          <w:szCs w:val="24"/>
        </w:rPr>
        <w:t>2: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СВЯЗЬ</w:t>
      </w:r>
      <w:proofErr w:type="gramEnd"/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ВРЕМЕН В 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НАРОДНОМ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>ИСКУССТВЕ</w:t>
      </w:r>
      <w:r w:rsidRPr="001168A9">
        <w:rPr>
          <w:rFonts w:ascii="Times New Roman" w:hAnsi="Times New Roman" w:cs="Times New Roman"/>
          <w:spacing w:val="-4"/>
          <w:sz w:val="24"/>
          <w:szCs w:val="24"/>
        </w:rPr>
        <w:t xml:space="preserve"> (7 ч)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Живучесть древних образов (коня, птицы, бабы) в современ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 других местных форм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рушек.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тяжением, дополненный изящной линией.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Подробное рассмо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новные приемы городецкой росписи.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письма, формирующие бу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кет: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, привязка.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ДЕКОР </w:t>
      </w:r>
      <w:r w:rsidRPr="001168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—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ЧЕЛОВЕК, ОБЩЕСТВО, ВРЕМЯ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(10ч)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дельности.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Осознание роли искусства украшения в формировании каждо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1168A9">
        <w:rPr>
          <w:rFonts w:ascii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lastRenderedPageBreak/>
        <w:t>Эту тему предлагается раскрыть на примерах роли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Одежда, костюм не только служат практическим целям,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они  и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являются особым знаком — знаком положения человека в обще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168A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168A9">
        <w:rPr>
          <w:rFonts w:ascii="Times New Roman" w:hAnsi="Times New Roman" w:cs="Times New Roman"/>
          <w:sz w:val="24"/>
          <w:szCs w:val="24"/>
        </w:rPr>
        <w:t xml:space="preserve"> века (эпо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ха барокко).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Декоративность, орнаментальность, изобразительная услов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1168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ДЕКОРАТИВНОЕ ИСКУССТВО </w:t>
      </w:r>
      <w:r w:rsidRPr="001168A9">
        <w:rPr>
          <w:rFonts w:ascii="Times New Roman" w:hAnsi="Times New Roman" w:cs="Times New Roman"/>
          <w:b/>
          <w:spacing w:val="-1"/>
          <w:sz w:val="24"/>
          <w:szCs w:val="24"/>
        </w:rPr>
        <w:t>В СОВРЕМЕННОМ МИРЕ</w:t>
      </w:r>
      <w:r w:rsidRPr="001168A9">
        <w:rPr>
          <w:rFonts w:ascii="Times New Roman" w:hAnsi="Times New Roman" w:cs="Times New Roman"/>
          <w:spacing w:val="-1"/>
          <w:sz w:val="24"/>
          <w:szCs w:val="24"/>
        </w:rPr>
        <w:t xml:space="preserve"> (8 ч)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ции в конкретном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материале.Творческая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интерпретация древних образов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 в работах современных художников.</w:t>
      </w:r>
    </w:p>
    <w:p w:rsidR="00322C7B" w:rsidRPr="001168A9" w:rsidRDefault="00322C7B" w:rsidP="00322C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C7B" w:rsidRPr="001168A9" w:rsidRDefault="00322C7B" w:rsidP="00322C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C7B" w:rsidRPr="001168A9" w:rsidRDefault="00322C7B" w:rsidP="00322C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B73" w:rsidRDefault="009D2B73"/>
    <w:sectPr w:rsidR="009D2B73" w:rsidSect="00322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E6"/>
    <w:rsid w:val="00322C7B"/>
    <w:rsid w:val="00901DCB"/>
    <w:rsid w:val="009D2B73"/>
    <w:rsid w:val="00C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233E-4710-4124-BC5E-D9688A6A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322C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22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322C7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322C7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322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1841</Words>
  <Characters>10496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2020-01-09T05:58:00Z</dcterms:created>
  <dcterms:modified xsi:type="dcterms:W3CDTF">2020-01-10T05:23:00Z</dcterms:modified>
</cp:coreProperties>
</file>