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0C" w:rsidRDefault="008A4A0C" w:rsidP="008A4A0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по русскому языку </w:t>
      </w:r>
    </w:p>
    <w:p w:rsidR="008A4A0C" w:rsidRDefault="008A4A0C" w:rsidP="008A4A0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A4A0C" w:rsidRDefault="008A4A0C" w:rsidP="008A4A0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Рабочая программа по предмету «Русский язык» для обучающихся 3 класса составлена в соответствии с авторской программой «Русский язык 1-4 классы» В.Г. Горецкого, В.П. </w:t>
      </w:r>
      <w:proofErr w:type="spellStart"/>
      <w:r>
        <w:rPr>
          <w:color w:val="000000"/>
        </w:rPr>
        <w:t>Канакиной</w:t>
      </w:r>
      <w:proofErr w:type="spellEnd"/>
      <w:r>
        <w:rPr>
          <w:color w:val="000000"/>
        </w:rPr>
        <w:t xml:space="preserve"> Москва, «Просвещение», 2012 к завершенной предметной линии учебников: Русский язык 3 класс: учебник для общеобразовательных организаций / В.П.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>, В.Г. Горецкий - М.: Просвещение, 2019.</w:t>
      </w:r>
    </w:p>
    <w:p w:rsidR="008A4A0C" w:rsidRDefault="008A4A0C" w:rsidP="008A4A0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изучение предмета «Русский язык» в 3 классе в учебном плане</w:t>
      </w:r>
      <w:r w:rsidR="00EE748F" w:rsidRPr="00EE748F">
        <w:rPr>
          <w:color w:val="000000"/>
        </w:rPr>
        <w:t xml:space="preserve"> </w:t>
      </w:r>
      <w:r w:rsidR="00EE748F">
        <w:rPr>
          <w:color w:val="000000"/>
        </w:rPr>
        <w:t xml:space="preserve">Филиала МАОУ «Прииртышская СОШ» - «Верхнеаремзянская СОШ им.Д.И.Менделеева» </w:t>
      </w:r>
      <w:r>
        <w:rPr>
          <w:color w:val="000000"/>
        </w:rPr>
        <w:t xml:space="preserve"> отводится 5 часов в неделю, 170 часов в год.</w:t>
      </w: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1.Планируемые результаты ос</w:t>
      </w:r>
      <w:r w:rsidR="00EE748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воения учебного предмета «Русский язык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»</w:t>
      </w:r>
    </w:p>
    <w:p w:rsidR="008A4A0C" w:rsidRDefault="008A4A0C" w:rsidP="008A4A0C">
      <w:pPr>
        <w:pStyle w:val="a3"/>
      </w:pPr>
      <w:r>
        <w:rPr>
          <w:b/>
          <w:bCs/>
        </w:rPr>
        <w:t>Предметные результаты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Предметные результаты освоения основных содержательных линий программы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речи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выражать собственное мнение, обосновывать его с учётом ситуации общения;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соблюдать правила вежливости при общении с людьми, плохо владеющими русским языком;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распознавать тексты разных типов: описание, повествование, рассуждение;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знакомиться с жанрами объявления, письма;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использовать в монологическом высказывании разные типы речи: описание, рассуждение, повествование;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находить и исправлять в предъявленных предложениях, текстах нарушения правильности, точности, богатства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Система языка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Фонетика, орфоэпия, графика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определять функцию разделительного твёрдого знака (ъ) в словах;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осуществлять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буквенный анализ доступных по составу слов;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использовать знание алфавита для упорядочивания слов и при работе со словарями и справочниками;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применять знания фонетического материала при использовании правил правописания;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8A4A0C" w:rsidRDefault="008A4A0C" w:rsidP="008A4A0C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осуществлять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буквенный разбор слова самостоятельно по предложенному в учебнике алгоритму;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оценивать правильность проведения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буквенного анализа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Лексика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об омонимах; приобретать опыт различения в предложениях и текстах омонимов;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слова, употреблённые в прямом и переносном значении (простые случаи);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 некоторых устаревших словах и их использовании в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словарями при решении языковых и речевых задач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оценивать уместность использования слов в тексте;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синонимы для устранения повторов в тексте;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выбирать слова из ряда предложенных для успешного решения коммуникативных задач;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размышлять над этимологией некоторых слов-названий;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приобретать опыт редактирования употреблённых в предложении (тексте)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 слова (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>)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владеть опознавательными признаками однокоренных слов;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однокоренные слова и различные формы одного и того же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нулевое окончание;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слова с заданной морфемой;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образовывать слова с помощью приставки (или суффикса), осознавать значение новых слов.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корень в однокоренных словах с чередованием согласных в корне;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изменяемые и неизменяемые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узнавать сложные слова (типа вездеход, вертолёт и др.), выделять в них корни;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соединительные гласные (интерфиксы) в сложных словах;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сравнивать, классифицировать слова по их составу;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осознавать значения, вносимые в слово суффиксами и приставками (простые случаи);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способами образования слов при помощи приставки (или суффикса);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Морфология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части речи на основе усвоенных признаков (в объёме программы);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узнавать имена числительные (общее представление); распознавать количественные и порядковые имена числительные;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отличие предлогов от приставок, значение частицы не;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узнавать союзы и, а, но и понимать их роль в предложении;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словообразованием частей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замечать в устной и письменной речи речевые ошибки и недочёты в употреблении изучаемых форм частей речи.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Синтаксис</w:t>
      </w:r>
    </w:p>
    <w:p w:rsidR="008A4A0C" w:rsidRDefault="008A4A0C" w:rsidP="008A4A0C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различать предложение, словосочетание и слово;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предложения из потока устной и письменной речи, оформлять их границы;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понятия «члены предложения» и «части речи»;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при помощи вопросов связь между словами в предложении; отражать её в схеме;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распространённые и нераспространённые предложения, составлять такие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отличать основу предложения от словосочетания; выделять в предложении словосочетания;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в словосочетании связь главного слова с зависимым при помощи вопросов;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в предложении основу и словосочетания;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предложении обращение (в начале, в середине, в конце);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опознавать простое и сложное предложения, определять части сложного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Орфография и пунктуация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lastRenderedPageBreak/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применять ранее изученные правила правописания, а также: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непроизносимые согласные;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разделительный твёрдый знак (ъ);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гласные и согласные в неизменяемых на письме приставках и суффиксах;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мягкий знак после шипящих на конце имён существительных (речь, брошь, мышь);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безударные родовые окончания имён прилагательных;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раздельное написание предлогов и слитное написание приставок;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раздельное написание частицы не с глаголами;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б) подбирать примеры с определённой орфограммой;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г) определять разновидности орфограмм и соотносить их с изученными правилами;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е) безошибочно списывать текст с доски и учебника (объёмом 65 – 70 слов);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ж) писать под диктовку текст (объёмом 55 – 60 слов) в соответствии с изученными правилами правописания;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з) проверять собственный и предложенный текст, находить и исправлять  орфографические и пунктуационные ошибки.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применять правила правописания: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соединительные о и е в сложных словах (самолёт, вездеход);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 е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 в суффиксах имён существительных (ключик – ключика, замочек – замочка);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запятая при обращении;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запятая между частями в сложном предложении;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безударные родовые окончания имён прилагательных, глаголов в прошедшем времени;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>
        <w:rPr>
          <w:color w:val="000000"/>
        </w:rPr>
        <w:t>пунктограммы</w:t>
      </w:r>
      <w:proofErr w:type="spellEnd"/>
      <w:r>
        <w:rPr>
          <w:color w:val="000000"/>
        </w:rPr>
        <w:t xml:space="preserve"> (чтобы избежать орфографической ошибки).</w:t>
      </w:r>
    </w:p>
    <w:p w:rsidR="008A4A0C" w:rsidRDefault="008A4A0C" w:rsidP="008A4A0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Язык и речь. (2 часа)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Виды речи. Речь, её назначение. Речь — отражение культуры человека.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Язык, его назначение и его выбор в соответствии с целями и условиями общения.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Формирование представлений о языке как основе национального самосознания.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Текст, предложение, словосочетание. (14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Признаки текста: смысловая связь предложений в тексте, законченность, тема, основная мысль.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Построение текста: вступление, основная часть, заключение.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Знаки препинания в конце предложений.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Слово в языке и речи. (19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Состав слова. Правописание частей слова. (44 часа)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Части речи. (77часов)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</w:t>
      </w:r>
      <w:r>
        <w:rPr>
          <w:color w:val="000000"/>
        </w:rPr>
        <w:lastRenderedPageBreak/>
        <w:t>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яя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-ее, 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Повторение изученного за год. (14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речи.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Наблюдение над разновидностями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Изложение. Письменное изложение текста повествовательного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Составление письма. Написание короткого письма о своих делах, приглашения, объявления.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Речевая этика: сфера употребления, типовые ситуации использования слов приветствия, прощания, просьбы, благодарности, извинения в речи.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Чистописание: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, Т, Р, 3, Е, Ю, Д, Ф, К, В и др.; 3) П, п, Ч, ч, Р, р, В, в, Е, е, 3, з, У, у и др. Упражнения в безотрывных соединениях букв типа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, во, </w:t>
      </w:r>
      <w:proofErr w:type="spellStart"/>
      <w:r>
        <w:rPr>
          <w:color w:val="000000"/>
        </w:rPr>
        <w:t>вл</w:t>
      </w:r>
      <w:proofErr w:type="spellEnd"/>
      <w:r>
        <w:rPr>
          <w:color w:val="000000"/>
        </w:rPr>
        <w:t xml:space="preserve">, се, од, ас, </w:t>
      </w:r>
      <w:proofErr w:type="spellStart"/>
      <w:r>
        <w:rPr>
          <w:color w:val="000000"/>
        </w:rPr>
        <w:t>уе</w:t>
      </w:r>
      <w:proofErr w:type="spellEnd"/>
      <w:r>
        <w:rPr>
          <w:color w:val="000000"/>
        </w:rPr>
        <w:t>, до, ев и др. Связное, ритмичное письмо слов, предложений и небольших текстов.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Слова с непроверяемыми написаниями: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картофель, квартира, килограмм, коллектив, коллекция, комната, компьютер, Красная площадь, Кремль, кровать, лагерь, лестница, овёс, овощи, огород, огурец, однажды, одуванчик, </w:t>
      </w:r>
      <w:r>
        <w:rPr>
          <w:color w:val="000000"/>
        </w:rPr>
        <w:lastRenderedPageBreak/>
        <w:t>около, орех, песок, пирог, погода, помидор, понедельник, пороша, потом, поэт, праздник, приветливо,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/>
    <w:p w:rsidR="00985600" w:rsidRDefault="00985600"/>
    <w:sectPr w:rsidR="00985600" w:rsidSect="0094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13"/>
  </w:num>
  <w:num w:numId="8">
    <w:abstractNumId w:val="11"/>
  </w:num>
  <w:num w:numId="9">
    <w:abstractNumId w:val="17"/>
  </w:num>
  <w:num w:numId="10">
    <w:abstractNumId w:val="4"/>
  </w:num>
  <w:num w:numId="11">
    <w:abstractNumId w:val="0"/>
  </w:num>
  <w:num w:numId="12">
    <w:abstractNumId w:val="22"/>
  </w:num>
  <w:num w:numId="13">
    <w:abstractNumId w:val="18"/>
  </w:num>
  <w:num w:numId="14">
    <w:abstractNumId w:val="1"/>
  </w:num>
  <w:num w:numId="1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8"/>
  </w:num>
  <w:num w:numId="18">
    <w:abstractNumId w:val="19"/>
  </w:num>
  <w:num w:numId="19">
    <w:abstractNumId w:val="5"/>
  </w:num>
  <w:num w:numId="20">
    <w:abstractNumId w:val="6"/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3C"/>
    <w:rsid w:val="0081393C"/>
    <w:rsid w:val="008A4A0C"/>
    <w:rsid w:val="00941550"/>
    <w:rsid w:val="00985600"/>
    <w:rsid w:val="00E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A4A0C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8A4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4</cp:revision>
  <dcterms:created xsi:type="dcterms:W3CDTF">2019-11-29T08:35:00Z</dcterms:created>
  <dcterms:modified xsi:type="dcterms:W3CDTF">2020-08-24T08:36:00Z</dcterms:modified>
</cp:coreProperties>
</file>