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A9" w:rsidRPr="00BA73E6" w:rsidRDefault="007A4EA9" w:rsidP="007A4EA9">
      <w:pPr>
        <w:shd w:val="clear" w:color="auto" w:fill="FFFFFF"/>
        <w:jc w:val="center"/>
        <w:rPr>
          <w:b/>
          <w:bCs/>
          <w:sz w:val="24"/>
          <w:szCs w:val="24"/>
        </w:rPr>
      </w:pPr>
      <w:r w:rsidRPr="00E37D41">
        <w:rPr>
          <w:b/>
          <w:bCs/>
          <w:noProof/>
          <w:sz w:val="24"/>
          <w:szCs w:val="24"/>
        </w:rPr>
        <w:drawing>
          <wp:inline distT="0" distB="0" distL="0" distR="0" wp14:anchorId="64072BCE" wp14:editId="02287C8B">
            <wp:extent cx="9251950" cy="1604445"/>
            <wp:effectExtent l="0" t="0" r="6350" b="0"/>
            <wp:docPr id="1" name="Рисунок 1" descr="C:\Users\Школа\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7A4EA9" w:rsidRPr="00BA73E6" w:rsidRDefault="007A4EA9" w:rsidP="007A4EA9">
      <w:pPr>
        <w:shd w:val="clear" w:color="auto" w:fill="FFFFFF"/>
        <w:jc w:val="center"/>
        <w:rPr>
          <w:b/>
          <w:bCs/>
          <w:sz w:val="24"/>
          <w:szCs w:val="24"/>
        </w:rPr>
      </w:pPr>
    </w:p>
    <w:p w:rsidR="007A4EA9" w:rsidRPr="00BA73E6" w:rsidRDefault="007A4EA9" w:rsidP="007A4EA9">
      <w:pPr>
        <w:shd w:val="clear" w:color="auto" w:fill="FFFFFF"/>
        <w:jc w:val="center"/>
        <w:rPr>
          <w:b/>
          <w:bCs/>
          <w:sz w:val="24"/>
          <w:szCs w:val="24"/>
        </w:rPr>
      </w:pPr>
    </w:p>
    <w:p w:rsidR="007A4EA9" w:rsidRPr="00BA73E6" w:rsidRDefault="007A4EA9" w:rsidP="007A4EA9">
      <w:pPr>
        <w:shd w:val="clear" w:color="auto" w:fill="FFFFFF"/>
        <w:jc w:val="center"/>
        <w:rPr>
          <w:b/>
          <w:bCs/>
          <w:sz w:val="24"/>
          <w:szCs w:val="24"/>
        </w:rPr>
      </w:pPr>
      <w:r w:rsidRPr="00BA73E6">
        <w:rPr>
          <w:b/>
          <w:bCs/>
          <w:sz w:val="24"/>
          <w:szCs w:val="24"/>
        </w:rPr>
        <w:t>РАБОЧАЯ ПРОГРАММА</w:t>
      </w:r>
    </w:p>
    <w:p w:rsidR="007A4EA9" w:rsidRPr="00BA73E6" w:rsidRDefault="007A4EA9" w:rsidP="007A4EA9">
      <w:pPr>
        <w:shd w:val="clear" w:color="auto" w:fill="FFFFFF"/>
        <w:jc w:val="center"/>
        <w:rPr>
          <w:bCs/>
          <w:sz w:val="24"/>
          <w:szCs w:val="24"/>
        </w:rPr>
      </w:pPr>
      <w:r w:rsidRPr="00BA73E6">
        <w:rPr>
          <w:bCs/>
          <w:sz w:val="24"/>
          <w:szCs w:val="24"/>
        </w:rPr>
        <w:t xml:space="preserve"> по </w:t>
      </w:r>
      <w:r>
        <w:rPr>
          <w:bCs/>
          <w:sz w:val="24"/>
          <w:szCs w:val="24"/>
        </w:rPr>
        <w:t>физической культуре</w:t>
      </w:r>
    </w:p>
    <w:p w:rsidR="007A4EA9" w:rsidRPr="00BA73E6" w:rsidRDefault="007A4EA9" w:rsidP="007A4EA9">
      <w:pPr>
        <w:shd w:val="clear" w:color="auto" w:fill="FFFFFF"/>
        <w:jc w:val="center"/>
        <w:rPr>
          <w:bCs/>
          <w:sz w:val="24"/>
          <w:szCs w:val="24"/>
        </w:rPr>
      </w:pPr>
      <w:r>
        <w:rPr>
          <w:bCs/>
          <w:sz w:val="24"/>
          <w:szCs w:val="24"/>
        </w:rPr>
        <w:t>для 5</w:t>
      </w:r>
      <w:r w:rsidRPr="00BA73E6">
        <w:rPr>
          <w:bCs/>
          <w:sz w:val="24"/>
          <w:szCs w:val="24"/>
        </w:rPr>
        <w:t xml:space="preserve"> класса</w:t>
      </w:r>
    </w:p>
    <w:p w:rsidR="007A4EA9" w:rsidRPr="00BA73E6" w:rsidRDefault="007A4EA9" w:rsidP="007A4EA9">
      <w:pPr>
        <w:shd w:val="clear" w:color="auto" w:fill="FFFFFF"/>
        <w:jc w:val="center"/>
        <w:rPr>
          <w:bCs/>
          <w:sz w:val="24"/>
          <w:szCs w:val="24"/>
        </w:rPr>
      </w:pPr>
      <w:r w:rsidRPr="00BA73E6">
        <w:rPr>
          <w:bCs/>
          <w:sz w:val="24"/>
          <w:szCs w:val="24"/>
        </w:rPr>
        <w:t>на 201</w:t>
      </w:r>
      <w:r>
        <w:rPr>
          <w:bCs/>
          <w:sz w:val="24"/>
          <w:szCs w:val="24"/>
        </w:rPr>
        <w:t>9</w:t>
      </w:r>
      <w:r w:rsidRPr="00BA73E6">
        <w:rPr>
          <w:bCs/>
          <w:sz w:val="24"/>
          <w:szCs w:val="24"/>
        </w:rPr>
        <w:t>-20</w:t>
      </w:r>
      <w:r>
        <w:rPr>
          <w:bCs/>
          <w:sz w:val="24"/>
          <w:szCs w:val="24"/>
        </w:rPr>
        <w:t xml:space="preserve">20 </w:t>
      </w:r>
      <w:r w:rsidRPr="00BA73E6">
        <w:rPr>
          <w:bCs/>
          <w:sz w:val="24"/>
          <w:szCs w:val="24"/>
        </w:rPr>
        <w:t>учебный год</w:t>
      </w:r>
    </w:p>
    <w:p w:rsidR="007A4EA9" w:rsidRPr="00BA73E6" w:rsidRDefault="007A4EA9" w:rsidP="007A4EA9">
      <w:pPr>
        <w:shd w:val="clear" w:color="auto" w:fill="FFFFFF"/>
        <w:jc w:val="center"/>
        <w:rPr>
          <w:b/>
          <w:bCs/>
          <w:sz w:val="24"/>
          <w:szCs w:val="24"/>
        </w:rPr>
      </w:pPr>
    </w:p>
    <w:p w:rsidR="007A4EA9" w:rsidRPr="00BA73E6" w:rsidRDefault="007A4EA9" w:rsidP="007A4EA9">
      <w:pPr>
        <w:shd w:val="clear" w:color="auto" w:fill="FFFFFF"/>
        <w:jc w:val="center"/>
        <w:rPr>
          <w:bCs/>
          <w:sz w:val="24"/>
          <w:szCs w:val="24"/>
        </w:rPr>
      </w:pPr>
    </w:p>
    <w:p w:rsidR="007A4EA9" w:rsidRPr="00BA73E6" w:rsidRDefault="007A4EA9" w:rsidP="007A4EA9">
      <w:pPr>
        <w:shd w:val="clear" w:color="auto" w:fill="FFFFFF"/>
        <w:jc w:val="center"/>
        <w:rPr>
          <w:bCs/>
          <w:sz w:val="24"/>
          <w:szCs w:val="24"/>
        </w:rPr>
      </w:pPr>
    </w:p>
    <w:p w:rsidR="007A4EA9" w:rsidRPr="00BA73E6" w:rsidRDefault="007A4EA9" w:rsidP="007A4EA9">
      <w:pPr>
        <w:shd w:val="clear" w:color="auto" w:fill="FFFFFF"/>
        <w:jc w:val="center"/>
        <w:rPr>
          <w:b/>
          <w:bCs/>
          <w:sz w:val="24"/>
          <w:szCs w:val="24"/>
        </w:rPr>
      </w:pPr>
      <w:bookmarkStart w:id="0" w:name="_GoBack"/>
      <w:bookmarkEnd w:id="0"/>
    </w:p>
    <w:p w:rsidR="007A4EA9" w:rsidRPr="00BA73E6" w:rsidRDefault="007A4EA9" w:rsidP="007A4EA9">
      <w:pPr>
        <w:shd w:val="clear" w:color="auto" w:fill="FFFFFF"/>
        <w:rPr>
          <w:b/>
          <w:bCs/>
          <w:sz w:val="24"/>
          <w:szCs w:val="24"/>
        </w:rPr>
      </w:pPr>
    </w:p>
    <w:p w:rsidR="007A4EA9" w:rsidRPr="00BA73E6" w:rsidRDefault="007A4EA9" w:rsidP="007A4EA9">
      <w:pPr>
        <w:shd w:val="clear" w:color="auto" w:fill="FFFFFF"/>
        <w:tabs>
          <w:tab w:val="left" w:pos="195"/>
          <w:tab w:val="right" w:pos="14900"/>
        </w:tabs>
        <w:rPr>
          <w:bCs/>
          <w:sz w:val="24"/>
          <w:szCs w:val="24"/>
        </w:rPr>
      </w:pPr>
      <w:r w:rsidRPr="00BA73E6">
        <w:rPr>
          <w:bCs/>
          <w:sz w:val="24"/>
          <w:szCs w:val="24"/>
        </w:rPr>
        <w:t xml:space="preserve">Планирование составлено в соответствии </w:t>
      </w:r>
      <w:r w:rsidRPr="00BA73E6">
        <w:rPr>
          <w:bCs/>
          <w:sz w:val="24"/>
          <w:szCs w:val="24"/>
        </w:rPr>
        <w:tab/>
      </w:r>
    </w:p>
    <w:p w:rsidR="007A4EA9" w:rsidRDefault="007A4EA9" w:rsidP="007A4EA9">
      <w:pPr>
        <w:shd w:val="clear" w:color="auto" w:fill="FFFFFF"/>
        <w:tabs>
          <w:tab w:val="left" w:pos="210"/>
          <w:tab w:val="right" w:pos="14900"/>
        </w:tabs>
        <w:rPr>
          <w:bCs/>
          <w:sz w:val="24"/>
          <w:szCs w:val="24"/>
        </w:rPr>
      </w:pPr>
      <w:r w:rsidRPr="00BA73E6">
        <w:rPr>
          <w:bCs/>
          <w:sz w:val="24"/>
          <w:szCs w:val="24"/>
        </w:rPr>
        <w:t xml:space="preserve">ФГОС </w:t>
      </w:r>
      <w:r>
        <w:rPr>
          <w:bCs/>
          <w:sz w:val="24"/>
          <w:szCs w:val="24"/>
        </w:rPr>
        <w:t>Н</w:t>
      </w:r>
      <w:r w:rsidRPr="00BA73E6">
        <w:rPr>
          <w:bCs/>
          <w:sz w:val="24"/>
          <w:szCs w:val="24"/>
        </w:rPr>
        <w:t>ОО</w:t>
      </w:r>
      <w:r w:rsidRPr="00BA73E6">
        <w:rPr>
          <w:bCs/>
          <w:sz w:val="24"/>
          <w:szCs w:val="24"/>
        </w:rPr>
        <w:tab/>
      </w:r>
      <w:r>
        <w:rPr>
          <w:bCs/>
          <w:sz w:val="24"/>
          <w:szCs w:val="24"/>
        </w:rPr>
        <w:t xml:space="preserve">   </w:t>
      </w:r>
      <w:r w:rsidRPr="00BA73E6">
        <w:rPr>
          <w:sz w:val="24"/>
          <w:szCs w:val="24"/>
        </w:rPr>
        <w:t xml:space="preserve">Составитель программы: </w:t>
      </w:r>
      <w:r>
        <w:rPr>
          <w:sz w:val="24"/>
          <w:szCs w:val="24"/>
        </w:rPr>
        <w:t>Махиянов А.А.,</w:t>
      </w:r>
    </w:p>
    <w:p w:rsidR="007A4EA9" w:rsidRPr="007A4EA9" w:rsidRDefault="007A4EA9" w:rsidP="007A4EA9">
      <w:pPr>
        <w:shd w:val="clear" w:color="auto" w:fill="FFFFFF"/>
        <w:tabs>
          <w:tab w:val="left" w:pos="210"/>
          <w:tab w:val="right" w:pos="14900"/>
        </w:tabs>
        <w:rPr>
          <w:bCs/>
          <w:sz w:val="24"/>
          <w:szCs w:val="24"/>
        </w:rPr>
      </w:pPr>
      <w:r>
        <w:rPr>
          <w:bCs/>
          <w:sz w:val="24"/>
          <w:szCs w:val="24"/>
        </w:rPr>
        <w:t xml:space="preserve">                                                                                                                                                                                                      </w:t>
      </w:r>
      <w:r w:rsidRPr="00F53C12">
        <w:rPr>
          <w:sz w:val="24"/>
          <w:szCs w:val="24"/>
        </w:rPr>
        <w:t xml:space="preserve">учитель </w:t>
      </w:r>
      <w:r>
        <w:rPr>
          <w:sz w:val="24"/>
          <w:szCs w:val="24"/>
        </w:rPr>
        <w:t>физической культуры</w:t>
      </w:r>
    </w:p>
    <w:p w:rsidR="007A4EA9" w:rsidRPr="00BA73E6" w:rsidRDefault="007A4EA9" w:rsidP="007A4EA9">
      <w:pPr>
        <w:shd w:val="clear" w:color="auto" w:fill="FFFFFF"/>
        <w:jc w:val="right"/>
        <w:rPr>
          <w:bCs/>
          <w:sz w:val="24"/>
          <w:szCs w:val="24"/>
        </w:rPr>
      </w:pPr>
    </w:p>
    <w:p w:rsidR="000F7912" w:rsidRPr="00D61FAA" w:rsidRDefault="000F7912"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491472" w:rsidRPr="000C7DDA" w:rsidRDefault="00491472" w:rsidP="00491472">
      <w:pPr>
        <w:spacing w:after="0" w:line="240" w:lineRule="auto"/>
        <w:ind w:firstLine="708"/>
        <w:jc w:val="both"/>
        <w:rPr>
          <w:rFonts w:ascii="Times New Roman" w:hAnsi="Times New Roman" w:cs="Times New Roman"/>
        </w:rPr>
      </w:pPr>
      <w:r w:rsidRPr="00D61FAA">
        <w:rPr>
          <w:rFonts w:ascii="Times New Roman" w:hAnsi="Times New Roman" w:cs="Times New Roman"/>
        </w:rPr>
        <w:t xml:space="preserve">Рабочая программа по учебному предмету «Физическая культура» для обучающихся </w:t>
      </w:r>
      <w:r w:rsidR="00F93340" w:rsidRPr="00D61FAA">
        <w:rPr>
          <w:rFonts w:ascii="Times New Roman" w:hAnsi="Times New Roman" w:cs="Times New Roman"/>
        </w:rPr>
        <w:t>5</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F93340" w:rsidRPr="00D61FAA">
        <w:rPr>
          <w:rFonts w:ascii="Times New Roman" w:eastAsia="Times New Roman" w:hAnsi="Times New Roman" w:cs="Times New Roman"/>
          <w:lang w:eastAsia="ru-RU"/>
        </w:rPr>
        <w:t>5</w:t>
      </w:r>
      <w:r w:rsidRPr="00D61FAA">
        <w:rPr>
          <w:rFonts w:ascii="Times New Roman" w:eastAsia="Times New Roman" w:hAnsi="Times New Roman" w:cs="Times New Roman"/>
          <w:lang w:eastAsia="ru-RU"/>
        </w:rPr>
        <w:t xml:space="preserve"> классе в учебном плане МАОУ «</w:t>
      </w:r>
      <w:r w:rsidR="0054785B">
        <w:rPr>
          <w:rFonts w:ascii="Times New Roman" w:eastAsia="Times New Roman" w:hAnsi="Times New Roman" w:cs="Times New Roman"/>
          <w:lang w:eastAsia="ru-RU"/>
        </w:rPr>
        <w:t xml:space="preserve">Верхнеаремзянская </w:t>
      </w:r>
      <w:r w:rsidRPr="00D61FAA">
        <w:rPr>
          <w:rFonts w:ascii="Times New Roman" w:eastAsia="Times New Roman" w:hAnsi="Times New Roman" w:cs="Times New Roman"/>
          <w:lang w:eastAsia="ru-RU"/>
        </w:rPr>
        <w:t xml:space="preserve"> СОШ»</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Pr="00D61FAA" w:rsidRDefault="00491472" w:rsidP="00491472">
      <w:pPr>
        <w:spacing w:after="0" w:line="240" w:lineRule="auto"/>
        <w:jc w:val="both"/>
        <w:rPr>
          <w:rFonts w:ascii="Times New Roman" w:eastAsia="Calibri" w:hAnsi="Times New Roman" w:cs="Times New Roman"/>
          <w:b/>
          <w:bCs/>
        </w:rPr>
      </w:pPr>
    </w:p>
    <w:p w:rsidR="00491472" w:rsidRPr="00D61FAA" w:rsidRDefault="00011773"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Планируемые </w:t>
      </w:r>
      <w:r w:rsidR="00491472" w:rsidRPr="00D61FAA">
        <w:rPr>
          <w:rFonts w:ascii="Times New Roman" w:eastAsia="Calibri" w:hAnsi="Times New Roman" w:cs="Times New Roman"/>
          <w:b/>
          <w:bCs/>
        </w:rPr>
        <w:t xml:space="preserve"> результаты</w:t>
      </w:r>
    </w:p>
    <w:p w:rsidR="00491472" w:rsidRDefault="00011773" w:rsidP="00491472">
      <w:pPr>
        <w:spacing w:after="0" w:line="240" w:lineRule="auto"/>
        <w:ind w:firstLine="708"/>
        <w:jc w:val="both"/>
        <w:rPr>
          <w:rFonts w:ascii="Times New Roman" w:eastAsia="Calibri" w:hAnsi="Times New Roman" w:cs="Times New Roman"/>
        </w:rPr>
      </w:pPr>
      <w:r>
        <w:rPr>
          <w:rFonts w:ascii="Times New Roman" w:eastAsia="Calibri" w:hAnsi="Times New Roman" w:cs="Times New Roman"/>
          <w:bCs/>
        </w:rPr>
        <w:t>Планируемые</w:t>
      </w:r>
      <w:r w:rsidR="00491472" w:rsidRPr="00D61FAA">
        <w:rPr>
          <w:rFonts w:ascii="Times New Roman" w:eastAsia="Calibri" w:hAnsi="Times New Roman" w:cs="Times New Roman"/>
          <w:bCs/>
        </w:rPr>
        <w:t xml:space="preserve"> результатами</w:t>
      </w:r>
      <w:r w:rsidR="00491472" w:rsidRPr="00D61FAA">
        <w:rPr>
          <w:rFonts w:ascii="Times New Roman" w:eastAsia="Calibri" w:hAnsi="Times New Roman" w:cs="Times New Roman"/>
          <w:b/>
          <w:bCs/>
        </w:rPr>
        <w:t xml:space="preserve"> </w:t>
      </w:r>
      <w:r w:rsidR="00491472" w:rsidRPr="00D61FAA">
        <w:rPr>
          <w:rFonts w:ascii="Times New Roman" w:eastAsia="Calibri" w:hAnsi="Times New Roman" w:cs="Times New Roman"/>
        </w:rPr>
        <w:t>освоения учащимися содержания программы по физической культуре являются:</w:t>
      </w:r>
    </w:p>
    <w:p w:rsidR="009E1C0E" w:rsidRPr="009E1C0E" w:rsidRDefault="009E1C0E" w:rsidP="009E1C0E">
      <w:pPr>
        <w:pStyle w:val="a4"/>
        <w:rPr>
          <w:color w:val="000000"/>
          <w:szCs w:val="27"/>
        </w:rPr>
      </w:pPr>
      <w:r w:rsidRPr="009E1C0E">
        <w:rPr>
          <w:color w:val="000000"/>
          <w:szCs w:val="27"/>
        </w:rPr>
        <w:t>Предметными результатами освоения учащимися содержания программы по физической культуре являются:</w:t>
      </w:r>
    </w:p>
    <w:p w:rsidR="009E1C0E" w:rsidRPr="009E1C0E" w:rsidRDefault="009E1C0E" w:rsidP="009E1C0E">
      <w:pPr>
        <w:pStyle w:val="a4"/>
        <w:rPr>
          <w:color w:val="000000"/>
          <w:szCs w:val="27"/>
        </w:rPr>
      </w:pPr>
      <w:r w:rsidRPr="009E1C0E">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E1C0E" w:rsidRPr="009E1C0E" w:rsidRDefault="009E1C0E" w:rsidP="009E1C0E">
      <w:pPr>
        <w:pStyle w:val="a4"/>
        <w:rPr>
          <w:color w:val="000000"/>
          <w:szCs w:val="27"/>
        </w:rPr>
      </w:pPr>
      <w:r w:rsidRPr="009E1C0E">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9E1C0E" w:rsidRPr="009E1C0E" w:rsidRDefault="009E1C0E" w:rsidP="009E1C0E">
      <w:pPr>
        <w:pStyle w:val="a4"/>
        <w:rPr>
          <w:color w:val="000000"/>
          <w:szCs w:val="27"/>
        </w:rPr>
      </w:pPr>
      <w:r w:rsidRPr="009E1C0E">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E1C0E" w:rsidRPr="009E1C0E" w:rsidRDefault="009E1C0E" w:rsidP="009E1C0E">
      <w:pPr>
        <w:pStyle w:val="a4"/>
        <w:rPr>
          <w:color w:val="000000"/>
          <w:szCs w:val="27"/>
        </w:rPr>
      </w:pPr>
      <w:r w:rsidRPr="009E1C0E">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E1C0E" w:rsidRPr="009E1C0E" w:rsidRDefault="009E1C0E" w:rsidP="009E1C0E">
      <w:pPr>
        <w:pStyle w:val="a4"/>
        <w:rPr>
          <w:color w:val="000000"/>
          <w:szCs w:val="27"/>
        </w:rPr>
      </w:pPr>
      <w:r w:rsidRPr="009E1C0E">
        <w:rPr>
          <w:color w:val="000000"/>
          <w:szCs w:val="27"/>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(в ред. Приказа Минобрнауки России о</w:t>
      </w:r>
      <w:r>
        <w:rPr>
          <w:color w:val="000000"/>
          <w:szCs w:val="27"/>
        </w:rPr>
        <w:t>т 29.12.2014 N 1644)</w:t>
      </w:r>
    </w:p>
    <w:p w:rsidR="00A50B6C" w:rsidRPr="00D61FAA" w:rsidRDefault="00A50B6C" w:rsidP="00491472">
      <w:pPr>
        <w:spacing w:after="0" w:line="240" w:lineRule="auto"/>
        <w:ind w:firstLine="708"/>
        <w:jc w:val="both"/>
        <w:rPr>
          <w:rFonts w:ascii="Times New Roman" w:eastAsia="Calibri" w:hAnsi="Times New Roman" w:cs="Times New Roman"/>
        </w:rPr>
      </w:pP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lastRenderedPageBreak/>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w:t>
      </w:r>
      <w:r w:rsidRPr="00D61FAA">
        <w:rPr>
          <w:rFonts w:ascii="Times New Roman" w:hAnsi="Times New Roman" w:cs="Times New Roman"/>
          <w:i/>
          <w:color w:val="00000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w:t>
            </w:r>
            <w:r w:rsidRPr="00D61FAA">
              <w:rPr>
                <w:rFonts w:ascii="Times New Roman" w:eastAsia="Calibri" w:hAnsi="Times New Roman" w:cs="Times New Roman"/>
              </w:rPr>
              <w:lastRenderedPageBreak/>
              <w:t>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w:t>
            </w:r>
            <w:r w:rsidRPr="00D61FAA">
              <w:rPr>
                <w:rFonts w:ascii="Times New Roman" w:eastAsia="Calibri" w:hAnsi="Times New Roman" w:cs="Times New Roman"/>
              </w:rPr>
              <w:lastRenderedPageBreak/>
              <w:t xml:space="preserve">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w:t>
            </w:r>
            <w:r w:rsidRPr="00D61FAA">
              <w:rPr>
                <w:rFonts w:ascii="Times New Roman" w:eastAsia="Calibri" w:hAnsi="Times New Roman" w:cs="Times New Roman"/>
              </w:rPr>
              <w:lastRenderedPageBreak/>
              <w:t>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w:t>
            </w:r>
            <w:r w:rsidRPr="00D61FAA">
              <w:rPr>
                <w:rFonts w:ascii="Times New Roman" w:eastAsia="Calibri" w:hAnsi="Times New Roman" w:cs="Times New Roman"/>
              </w:rPr>
              <w:lastRenderedPageBreak/>
              <w:t>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lastRenderedPageBreak/>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Соблюдают технику безопасности при выполнении </w:t>
            </w:r>
            <w:r w:rsidRPr="000C525D">
              <w:rPr>
                <w:rFonts w:ascii="Times New Roman" w:eastAsia="Calibri" w:hAnsi="Times New Roman" w:cs="Times New Roman"/>
                <w:lang w:eastAsia="ru-RU"/>
              </w:rPr>
              <w:lastRenderedPageBreak/>
              <w:t>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FC2152" w:rsidRDefault="00FC2152"/>
    <w:sectPr w:rsidR="00FC215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2AD" w:rsidRDefault="00EA22AD" w:rsidP="00491472">
      <w:pPr>
        <w:spacing w:after="0" w:line="240" w:lineRule="auto"/>
      </w:pPr>
      <w:r>
        <w:separator/>
      </w:r>
    </w:p>
  </w:endnote>
  <w:endnote w:type="continuationSeparator" w:id="0">
    <w:p w:rsidR="00EA22AD" w:rsidRDefault="00EA22AD"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2AD" w:rsidRDefault="00EA22AD" w:rsidP="00491472">
      <w:pPr>
        <w:spacing w:after="0" w:line="240" w:lineRule="auto"/>
      </w:pPr>
      <w:r>
        <w:separator/>
      </w:r>
    </w:p>
  </w:footnote>
  <w:footnote w:type="continuationSeparator" w:id="0">
    <w:p w:rsidR="00EA22AD" w:rsidRDefault="00EA22AD"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11773"/>
    <w:rsid w:val="000461A9"/>
    <w:rsid w:val="000C40D5"/>
    <w:rsid w:val="000C525D"/>
    <w:rsid w:val="000C7DDA"/>
    <w:rsid w:val="000F7912"/>
    <w:rsid w:val="00101FE3"/>
    <w:rsid w:val="00161799"/>
    <w:rsid w:val="001C4114"/>
    <w:rsid w:val="001E0AE7"/>
    <w:rsid w:val="001E5BBB"/>
    <w:rsid w:val="00296A2A"/>
    <w:rsid w:val="002C6501"/>
    <w:rsid w:val="002D503E"/>
    <w:rsid w:val="0030487D"/>
    <w:rsid w:val="0032677F"/>
    <w:rsid w:val="00377E49"/>
    <w:rsid w:val="003F1ED5"/>
    <w:rsid w:val="00405974"/>
    <w:rsid w:val="0046455D"/>
    <w:rsid w:val="004649C2"/>
    <w:rsid w:val="00491472"/>
    <w:rsid w:val="00535B3E"/>
    <w:rsid w:val="0054785B"/>
    <w:rsid w:val="00674767"/>
    <w:rsid w:val="00734B1E"/>
    <w:rsid w:val="0075265E"/>
    <w:rsid w:val="00764B5D"/>
    <w:rsid w:val="007866D2"/>
    <w:rsid w:val="007A4EA9"/>
    <w:rsid w:val="007D3A01"/>
    <w:rsid w:val="007F1D3D"/>
    <w:rsid w:val="008D4F30"/>
    <w:rsid w:val="009151CC"/>
    <w:rsid w:val="0093736D"/>
    <w:rsid w:val="00981017"/>
    <w:rsid w:val="009872CF"/>
    <w:rsid w:val="009E1C0E"/>
    <w:rsid w:val="00A0101C"/>
    <w:rsid w:val="00A11F2F"/>
    <w:rsid w:val="00A50B6C"/>
    <w:rsid w:val="00A5703D"/>
    <w:rsid w:val="00A93A40"/>
    <w:rsid w:val="00AF5BC6"/>
    <w:rsid w:val="00B16F33"/>
    <w:rsid w:val="00B31F77"/>
    <w:rsid w:val="00B42C28"/>
    <w:rsid w:val="00B9634D"/>
    <w:rsid w:val="00BE0C68"/>
    <w:rsid w:val="00BE3394"/>
    <w:rsid w:val="00C47A0D"/>
    <w:rsid w:val="00C76298"/>
    <w:rsid w:val="00CF2C78"/>
    <w:rsid w:val="00D31DC5"/>
    <w:rsid w:val="00D61FAA"/>
    <w:rsid w:val="00DD4926"/>
    <w:rsid w:val="00DF27FA"/>
    <w:rsid w:val="00E6237F"/>
    <w:rsid w:val="00EA22AD"/>
    <w:rsid w:val="00EB0EFF"/>
    <w:rsid w:val="00EB62DE"/>
    <w:rsid w:val="00EC71BE"/>
    <w:rsid w:val="00EF07E2"/>
    <w:rsid w:val="00F257ED"/>
    <w:rsid w:val="00F275FA"/>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9A8"/>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styleId="af2">
    <w:name w:val="Emphasis"/>
    <w:qFormat/>
    <w:rsid w:val="007A4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4626">
      <w:bodyDiv w:val="1"/>
      <w:marLeft w:val="0"/>
      <w:marRight w:val="0"/>
      <w:marTop w:val="0"/>
      <w:marBottom w:val="0"/>
      <w:divBdr>
        <w:top w:val="none" w:sz="0" w:space="0" w:color="auto"/>
        <w:left w:val="none" w:sz="0" w:space="0" w:color="auto"/>
        <w:bottom w:val="none" w:sz="0" w:space="0" w:color="auto"/>
        <w:right w:val="none" w:sz="0" w:space="0" w:color="auto"/>
      </w:divBdr>
    </w:div>
    <w:div w:id="182287277">
      <w:bodyDiv w:val="1"/>
      <w:marLeft w:val="0"/>
      <w:marRight w:val="0"/>
      <w:marTop w:val="0"/>
      <w:marBottom w:val="0"/>
      <w:divBdr>
        <w:top w:val="none" w:sz="0" w:space="0" w:color="auto"/>
        <w:left w:val="none" w:sz="0" w:space="0" w:color="auto"/>
        <w:bottom w:val="none" w:sz="0" w:space="0" w:color="auto"/>
        <w:right w:val="none" w:sz="0" w:space="0" w:color="auto"/>
      </w:divBdr>
    </w:div>
    <w:div w:id="3506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37</cp:revision>
  <cp:lastPrinted>2017-08-30T14:30:00Z</cp:lastPrinted>
  <dcterms:created xsi:type="dcterms:W3CDTF">2016-09-28T07:41:00Z</dcterms:created>
  <dcterms:modified xsi:type="dcterms:W3CDTF">2019-10-30T08:08:00Z</dcterms:modified>
</cp:coreProperties>
</file>