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_rels/chart1.xml.rels" ContentType="application/vnd.openxmlformats-package.relationships+xml"/>
  <Override PartName="/word/charts/_rels/chart2.xml.rels" ContentType="application/vnd.openxmlformats-package.relationships+xml"/>
  <Override PartName="/word/charts/_rels/chart3.xml.rels" ContentType="application/vnd.openxmlformats-package.relationships+xml"/>
  <Override PartName="/word/charts/_rels/chart4.xml.rels" ContentType="application/vnd.openxmlformats-package.relationships+xml"/>
  <Override PartName="/word/charts/_rels/chart5.xml.rels" ContentType="application/vnd.openxmlformats-package.relationships+xml"/>
  <Override PartName="/word/charts/_rels/chart6.xml.rels" ContentType="application/vnd.openxmlformats-package.relationships+xml"/>
  <Override PartName="/word/fontTable.xml" ContentType="application/vnd.openxmlformats-officedocument.wordprocessingml.fontTable+xml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embeddings/_____Microsoft_Office_Excel1.xlsx" ContentType="application/vnd.openxmlformats-officedocument.spreadsheetml.sheet"/>
  <Override PartName="/word/embeddings/_____Microsoft_Office_Excel2.xlsx" ContentType="application/vnd.openxmlformats-officedocument.spreadsheetml.sheet"/>
  <Override PartName="/word/embeddings/_____Microsoft_Office_Excel3.xlsx" ContentType="application/vnd.openxmlformats-officedocument.spreadsheetml.sheet"/>
  <Override PartName="/word/embeddings/_____Microsoft_Office_Excel4.xlsx" ContentType="application/vnd.openxmlformats-officedocument.spreadsheetml.sheet"/>
  <Override PartName="/word/embeddings/_____Microsoft_Office_Excel5.xlsx" ContentType="application/vnd.openxmlformats-officedocument.spreadsheetml.sheet"/>
  <Override PartName="/word/embeddings/_____Microsoft_Office_Excel6.xlsx" ContentType="application/vnd.openxmlformats-officedocument.spreadsheetml.sheet"/>
  <Override PartName="/word/_rels/document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lineRule="auto" w:line="360" w:before="0" w:after="0"/>
        <w:jc w:val="center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Ишимский район</w:t>
      </w:r>
    </w:p>
    <w:p>
      <w:pPr>
        <w:pStyle w:val="Normal"/>
        <w:spacing w:lineRule="auto" w:line="240" w:beforeAutospacing="1" w:afterAutospacing="1"/>
        <w:jc w:val="center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Муниципальное автономное общеобразовательное учреждение</w:t>
      </w:r>
    </w:p>
    <w:p>
      <w:pPr>
        <w:pStyle w:val="Normal"/>
        <w:spacing w:lineRule="auto" w:line="240" w:beforeAutospacing="1" w:afterAutospacing="1"/>
        <w:jc w:val="center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Черемшанская СОШ -  филиал Мезенская ООШ  </w:t>
      </w:r>
    </w:p>
    <w:p>
      <w:pPr>
        <w:pStyle w:val="Normal"/>
        <w:spacing w:lineRule="auto" w:line="240" w:beforeAutospacing="1" w:afterAutospacing="1"/>
        <w:jc w:val="center"/>
        <w:rPr>
          <w:rFonts w:ascii="Times New Roman" w:hAnsi="Times New Roman" w:cs="Times New Roman"/>
          <w:b/>
          <w:b/>
          <w:sz w:val="24"/>
          <w:szCs w:val="24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Областной креатив - фестиваль «Надежда».</w:t>
      </w:r>
      <w:r>
        <w:rPr>
          <w:rFonts w:cs="Times New Roman" w:ascii="Times New Roman" w:hAnsi="Times New Roman"/>
          <w:b/>
          <w:sz w:val="24"/>
          <w:szCs w:val="24"/>
        </w:rPr>
        <w:t xml:space="preserve">      </w:t>
      </w:r>
    </w:p>
    <w:p>
      <w:pPr>
        <w:pStyle w:val="Normal"/>
        <w:spacing w:lineRule="auto" w:line="240" w:beforeAutospacing="1" w:afterAutospacing="1"/>
        <w:jc w:val="center"/>
        <w:rPr>
          <w:rFonts w:ascii="Times New Roman" w:hAnsi="Times New Roman" w:cs="Times New Roman"/>
          <w:b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</w:r>
    </w:p>
    <w:p>
      <w:pPr>
        <w:pStyle w:val="Normal"/>
        <w:spacing w:lineRule="auto" w:line="240" w:beforeAutospacing="1" w:afterAutospacing="1"/>
        <w:jc w:val="center"/>
        <w:rPr>
          <w:rFonts w:ascii="Times New Roman" w:hAnsi="Times New Roman" w:cs="Times New Roman"/>
          <w:b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</w:r>
    </w:p>
    <w:p>
      <w:pPr>
        <w:pStyle w:val="Normal"/>
        <w:spacing w:lineRule="auto" w:line="240" w:beforeAutospacing="1" w:afterAutospacing="1"/>
        <w:jc w:val="center"/>
        <w:rPr>
          <w:rFonts w:ascii="Times New Roman" w:hAnsi="Times New Roman" w:cs="Times New Roman"/>
          <w:b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</w:r>
    </w:p>
    <w:p>
      <w:pPr>
        <w:pStyle w:val="Normal"/>
        <w:spacing w:lineRule="auto" w:line="240" w:beforeAutospacing="1" w:afterAutospacing="1"/>
        <w:jc w:val="center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cs="Times New Roman"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</w:t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Исследовательская работа</w:t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«Театр в нашей жизни»</w:t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ind w:left="5245" w:hanging="524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                </w:t>
      </w:r>
    </w:p>
    <w:p>
      <w:pPr>
        <w:pStyle w:val="Normal"/>
        <w:ind w:left="5245" w:hanging="524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ind w:left="5245" w:hanging="524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ind w:left="5245" w:hanging="524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ind w:left="5245" w:hanging="524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ind w:left="5245" w:hanging="524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ind w:left="5245" w:hanging="524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</w:t>
      </w:r>
      <w:r>
        <w:rPr>
          <w:rFonts w:cs="Times New Roman" w:ascii="Times New Roman" w:hAnsi="Times New Roman"/>
          <w:sz w:val="28"/>
          <w:szCs w:val="28"/>
        </w:rPr>
        <w:t>Выполнила:                                                                                                                             Горбунова Алина</w:t>
      </w:r>
    </w:p>
    <w:p>
      <w:pPr>
        <w:pStyle w:val="Normal"/>
        <w:ind w:left="5387" w:hanging="5387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ученица 3  класса</w:t>
      </w:r>
    </w:p>
    <w:p>
      <w:pPr>
        <w:pStyle w:val="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                   </w:t>
      </w:r>
      <w:r>
        <w:rPr>
          <w:rFonts w:cs="Times New Roman" w:ascii="Times New Roman" w:hAnsi="Times New Roman"/>
          <w:sz w:val="28"/>
          <w:szCs w:val="28"/>
        </w:rPr>
        <w:t>Мезенская ООШ</w:t>
      </w:r>
    </w:p>
    <w:p>
      <w:pPr>
        <w:pStyle w:val="Normal"/>
        <w:ind w:left="5387" w:hanging="5387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Руководитель: Бикеева Е.В.                                                     </w:t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Оглавление</w:t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Введение                                                                                                3-4</w:t>
      </w:r>
    </w:p>
    <w:p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Основная часть                                                                                       4-5</w:t>
      </w:r>
    </w:p>
    <w:p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Заключение                                                                                               8</w:t>
      </w:r>
    </w:p>
    <w:p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Приложение                                                                                          12-14</w:t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ВВЕДЕНИЕ</w:t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Театр! Как много значит слово</w:t>
        <w:br/>
        <w:t>Для всех, кто был там много раз!</w:t>
        <w:br/>
        <w:t>Как важно и порою ново</w:t>
        <w:br/>
        <w:t>Бывает действие для нас!</w:t>
        <w:br/>
        <w:t xml:space="preserve">      Мы на спектаклях умираем,</w:t>
        <w:br/>
        <w:t>С героем вместе слезы льем...</w:t>
        <w:br/>
        <w:t>Хотя порой прекрасно знаем,</w:t>
        <w:br/>
        <w:t>Что все печали ни о чем!</w:t>
      </w:r>
    </w:p>
    <w:p>
      <w:pPr>
        <w:pStyle w:val="NormalWeb"/>
        <w:spacing w:before="280" w:after="280"/>
        <w:jc w:val="center"/>
        <w:rPr>
          <w:sz w:val="28"/>
          <w:szCs w:val="28"/>
        </w:rPr>
      </w:pPr>
      <w:r>
        <w:rPr>
          <w:sz w:val="28"/>
          <w:szCs w:val="28"/>
        </w:rPr>
        <w:t>Забыв про возраст, неудачи,</w:t>
        <w:br/>
        <w:t>Стремимся мы в чужую жизнь</w:t>
        <w:br/>
        <w:t>И от чужого горя плачем,</w:t>
        <w:br/>
        <w:t>С чужим успехом рвемся ввысь!</w:t>
        <w:br/>
        <w:t>В спектаклях жизнь как на ладони,</w:t>
        <w:br/>
        <w:t>И все откроется в конце:</w:t>
        <w:br/>
        <w:t>Кто был злодеем, кто героем</w:t>
        <w:br/>
        <w:t>С ужасной маской на лице.</w:t>
        <w:br/>
        <w:t>Театр! Театр! Как много значат</w:t>
        <w:br/>
        <w:t>Для нас порой твои слова!</w:t>
        <w:br/>
        <w:t>И разве может быть иначе?</w:t>
        <w:br/>
        <w:t>В театре жизнь всегда права!</w:t>
      </w:r>
    </w:p>
    <w:p>
      <w:pPr>
        <w:pStyle w:val="NormalWeb"/>
        <w:spacing w:before="280" w:after="280"/>
        <w:jc w:val="center"/>
        <w:rPr/>
      </w:pPr>
      <w:r>
        <w:rPr>
          <w:sz w:val="28"/>
          <w:szCs w:val="28"/>
        </w:rPr>
        <w:t>Да, Вы, наверно, уже догадались, что свое выступление я хочу посвятить театру и не случайно. 2019 год объявлен Годом театра и кино. И тема моего выступления «Театр в нашей жизни».</w:t>
      </w:r>
    </w:p>
    <w:p>
      <w:pPr>
        <w:pStyle w:val="NormalWeb"/>
        <w:spacing w:before="280" w:after="280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Аннотация</w:t>
      </w:r>
    </w:p>
    <w:p>
      <w:pPr>
        <w:pStyle w:val="NoSpacing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Современность диктует свои условия в развитии детей, в век информатизации и компьютеризации забываются классические методы в воспитании детей. Недостаточное внимание к театру как средству воспитания детей, поверхностные знания детей о театре, его видах свидетельствуют  о том, что мир театра несправедливо забыт. С помощью театрализованной деятельности в школе есть возможность познакомить ребенка с многообразием окружающего мира через сценические образы. Развитие «актерского мастерства»  через многочисленные образы, звуки, краски помогает не только сформировать творческую личность, но и накопить опыт разных переживаний, развить речь ребенка, обогатить словарь. От выступления к выступлению, в процессе театрализованных игр, слушанья, просмотра спектаклей жизнь детей наполняется новым содержанием, яркими впечатлениями, положительными эмоциями от творческой деятельности.</w:t>
      </w:r>
    </w:p>
    <w:p>
      <w:pPr>
        <w:pStyle w:val="NoSpacing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Spacing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Меня заинтересовал вопрос: « Как и когда возник театр в городе Ишиме?»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 xml:space="preserve">И я выдвинула </w:t>
      </w:r>
      <w:r>
        <w:rPr>
          <w:b/>
          <w:sz w:val="28"/>
          <w:szCs w:val="28"/>
        </w:rPr>
        <w:t>гипотезу</w:t>
      </w:r>
      <w:r>
        <w:rPr>
          <w:sz w:val="28"/>
          <w:szCs w:val="28"/>
        </w:rPr>
        <w:t>,что сегодняшние дети мало интересуются театром. Имея высокую технологическую базу ,человек чаще всего забывает о потребностях своей души ,о саморазвитии, о приобщении к культурным ценностям.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 xml:space="preserve">Я поставила перед собой </w:t>
      </w:r>
      <w:r>
        <w:rPr>
          <w:b/>
          <w:sz w:val="28"/>
          <w:szCs w:val="28"/>
        </w:rPr>
        <w:t>цель: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>*выяснить историю создания театра в нашем городе;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>*узнать какое место занимает театр в жизни моих сверстников;</w:t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Задачи: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>*собрать сведения о театрах нашего города;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>*провести исследование о посещение одноклассниками театров;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>*проанализировать полученные данные;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 xml:space="preserve">*внести свои предложения; 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bCs/>
          <w:sz w:val="28"/>
          <w:szCs w:val="28"/>
        </w:rPr>
        <w:t>Объект исследования: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>учащиеся начальных классов.</w:t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</w:t>
      </w:r>
      <w:r>
        <w:rPr>
          <w:b/>
          <w:sz w:val="28"/>
          <w:szCs w:val="28"/>
        </w:rPr>
        <w:t>Теоретическая часть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>Наш город небольшой, но богат театральной историей.</w:t>
      </w:r>
      <w:r>
        <w:rPr>
          <w:sz w:val="28"/>
          <w:szCs w:val="28"/>
          <w:u w:val="single"/>
        </w:rPr>
        <w:t>В 1910 году</w:t>
      </w:r>
      <w:r>
        <w:rPr>
          <w:sz w:val="28"/>
          <w:szCs w:val="28"/>
        </w:rPr>
        <w:t> предприимчивый вятский мещанин Сергей Александрович Астапов, бывший актер со звучным псевдонимом Ярославцев-Сибиряк, построил на территории ишимского городского сада здание концертного зала. Позже бытовало другое название этого помещения - летний театр. Расположенное с запада на восток, здание имело шесть окон, две двери, было украшено резным фронтоном с высоким шпицем. Внутреннее помещение было разделено на зал с балконом и двадцатью восемью рядами кресел, сцену, дамскую уборную, «раздевальню», реквизиторскую, коридор. </w:t>
      </w:r>
    </w:p>
    <w:p>
      <w:pPr>
        <w:pStyle w:val="NormalWeb"/>
        <w:spacing w:before="0" w:afterAutospacing="0" w:after="150"/>
        <w:ind w:firstLine="375"/>
        <w:rPr>
          <w:sz w:val="28"/>
          <w:szCs w:val="28"/>
        </w:rPr>
      </w:pPr>
      <w:r>
        <w:rPr>
          <w:sz w:val="28"/>
          <w:szCs w:val="28"/>
        </w:rPr>
        <w:t>Это помещение сдавалось в аренду для гастролей театральных трупп из других городов, благотворительных спектаклей местных любителей-театралов, танцев, концертов и даже сеансов синематографа - новинки того времени. Каждое лето театр Астапова принимал гастролеров из Тобольска, Тюмени, Омска, Томска и т.д. Так продолжалось до 1950-х годов, пока летний театр не снесли за ветхостью.</w:t>
      </w:r>
    </w:p>
    <w:p>
      <w:pPr>
        <w:pStyle w:val="NormalWeb"/>
        <w:spacing w:before="0" w:afterAutospacing="0" w:after="15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>
        <w:rPr>
          <w:sz w:val="28"/>
          <w:szCs w:val="28"/>
        </w:rPr>
        <w:t>Театр имени А.В. Луначарского появился в Ишиме в последние месяцы 1919 года. Во главе образованного центрального театрального комитета (Центротеатр) был назначен А.В. Луначарский. Поэтому ишимский вновь созданный театр стал носить комиссара просвещения. Находился театр в доме купцов Кутыревых (ныне магазин № 2 на ул. Луначарского), красивом особняке на углу улицы Малой Никольской. Почти одновременно с рождением театра улице также присвоили имя А.В. Луначарского.</w:t>
      </w:r>
    </w:p>
    <w:p>
      <w:pPr>
        <w:pStyle w:val="NormalWeb"/>
        <w:spacing w:before="0" w:afterAutospacing="0" w:after="15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>
        <w:rPr>
          <w:sz w:val="28"/>
          <w:szCs w:val="28"/>
        </w:rPr>
        <w:t>Как долго работал театр им. А.В. Луначарского не известно, но, судя по заметкам в газете «Серп и молот», в 1926 году собственного театра в Ишиме уже не было.</w:t>
      </w:r>
    </w:p>
    <w:p>
      <w:pPr>
        <w:pStyle w:val="NormalWeb"/>
        <w:spacing w:before="0" w:afterAutospacing="0" w:after="15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>
        <w:rPr>
          <w:sz w:val="28"/>
          <w:szCs w:val="28"/>
        </w:rPr>
        <w:t>Вновь заработал театр, </w:t>
      </w:r>
      <w:r>
        <w:rPr>
          <w:sz w:val="28"/>
          <w:szCs w:val="28"/>
          <w:u w:val="single"/>
        </w:rPr>
        <w:t>27 мая 1926 года</w:t>
      </w:r>
      <w:r>
        <w:rPr>
          <w:sz w:val="28"/>
          <w:szCs w:val="28"/>
        </w:rPr>
        <w:t>, играли по пьесе А.В. Луначарского «Поджигатели». К сожалению, время начала спектакля в статье не указано, но представление оказалась насыщенным массовыми сценами, балетом и затянулась до 3-х часов ночи. За сезон с 27 мая по 1 сентября 1926 года труппой было поставлено больше 20 спектаклей.</w:t>
      </w:r>
    </w:p>
    <w:p>
      <w:pPr>
        <w:pStyle w:val="NormalWeb"/>
        <w:spacing w:before="0" w:afterAutospacing="0" w:after="150"/>
        <w:ind w:firstLine="375"/>
        <w:rPr>
          <w:sz w:val="28"/>
          <w:szCs w:val="28"/>
        </w:rPr>
      </w:pPr>
      <w:r>
        <w:rPr>
          <w:sz w:val="28"/>
          <w:szCs w:val="28"/>
        </w:rPr>
        <w:t>Тогда в Ишиме было три основных сценических площадки для театральных постановок: сезонный летний театр в городском парке, городской Дом культуры (ГДК) и железнодорожный Дом культуры (ЖДК) им. Ильича. Самодеятельные театральные коллективы работали при городском и железнодорожном домах культуры.</w:t>
      </w:r>
    </w:p>
    <w:p>
      <w:pPr>
        <w:pStyle w:val="NormalWeb"/>
        <w:spacing w:before="0" w:afterAutospacing="0" w:after="150"/>
        <w:ind w:firstLine="375"/>
        <w:rPr>
          <w:sz w:val="28"/>
          <w:szCs w:val="28"/>
        </w:rPr>
      </w:pPr>
      <w:r>
        <w:rPr>
          <w:sz w:val="28"/>
          <w:szCs w:val="28"/>
        </w:rPr>
        <w:t>О театре ишимцы не забывали даже и в военное время. Летом 1941 года было пять основных режиссеров-постановщиков. Премьеры шли через два дня. Чаще всего за сезон с марта по сентябрь 1941 года ставили «Без вины виноватые» Островского и «Трактирщицу» Гольдони, хотя репертуар состоял из 17 спектаклей. В зависимости от времени года играли в клубе или летнем театре.</w:t>
      </w:r>
    </w:p>
    <w:p>
      <w:pPr>
        <w:pStyle w:val="NormalWeb"/>
        <w:spacing w:before="0" w:afterAutospacing="0" w:after="150"/>
        <w:ind w:firstLine="375"/>
        <w:rPr>
          <w:sz w:val="28"/>
          <w:szCs w:val="28"/>
        </w:rPr>
      </w:pPr>
      <w:r>
        <w:rPr>
          <w:sz w:val="28"/>
          <w:szCs w:val="28"/>
        </w:rPr>
        <w:t>Ишимские зрители знакомились с постановками не только местных артистов, но и профессионалов. </w:t>
      </w:r>
      <w:r>
        <w:rPr>
          <w:sz w:val="28"/>
          <w:szCs w:val="28"/>
          <w:u w:val="single"/>
        </w:rPr>
        <w:t>В 1941 году 22 октября</w:t>
      </w:r>
      <w:r>
        <w:rPr>
          <w:sz w:val="28"/>
          <w:szCs w:val="28"/>
        </w:rPr>
        <w:t> в Омск был эвакуирован Московский театр им. Вахтангова и расположился в здании Омского театра драмы. Кроме вахтанговцев в Омск эвакуирован украинский театр им. Заньковецкой и Сталинградскую оперетту. Здания театров оказались заняты столичными коллективами - это одна из причин, почему Омский ТЮЗ оказался в Ишиме. В ноябре 1942 года клуб им. Ильича был сдан в аренду Омскому ТЮЗу им. 20-летия Ленинского комсомола. </w:t>
      </w:r>
    </w:p>
    <w:p>
      <w:pPr>
        <w:pStyle w:val="NormalWeb"/>
        <w:spacing w:before="0" w:afterAutospacing="0" w:after="150"/>
        <w:ind w:firstLine="375"/>
        <w:rPr>
          <w:sz w:val="28"/>
          <w:szCs w:val="28"/>
        </w:rPr>
      </w:pPr>
      <w:r>
        <w:rPr>
          <w:sz w:val="28"/>
          <w:szCs w:val="28"/>
        </w:rPr>
        <w:t>С </w:t>
      </w:r>
      <w:r>
        <w:rPr>
          <w:sz w:val="28"/>
          <w:szCs w:val="28"/>
          <w:u w:val="single"/>
        </w:rPr>
        <w:t>июня 1943</w:t>
      </w:r>
      <w:r>
        <w:rPr>
          <w:sz w:val="28"/>
          <w:szCs w:val="28"/>
        </w:rPr>
        <w:t> года ТЮЗ работал в летнем театре городского сада и брал на себя некоторые расходы, связанные с ремонтом и содержанием здания. Театр им. 20-летия Ленинского комсомола работал в Ишиме 11 месяцев. Осенью 1943 года ТЮЗ вернулся в Омск. </w:t>
      </w:r>
      <w:r>
        <w:rPr>
          <w:sz w:val="28"/>
          <w:szCs w:val="28"/>
          <w:u w:val="single"/>
        </w:rPr>
        <w:t>23 декабря 1943 года</w:t>
      </w:r>
      <w:r>
        <w:rPr>
          <w:sz w:val="28"/>
          <w:szCs w:val="28"/>
        </w:rPr>
        <w:t> было принято решение организовать в Ишиме колхозно-совхозный театр и запланировали для него дотацию в 100000 рублей. Театр располагался в городском Доме культуры, его директором был назначен Михаил Федорович Тарасов. И вновь штат театра состоял из обслуживающего персонала, артисты же были самодеятельными - те, кто перешел из драмкружков предприятий и клубов. Просуществовал он так же недолго, как и театр им. А.В. Луначарского. Зданию был необходим ремонт, а средств не хватало. И в мае</w:t>
      </w:r>
      <w:r>
        <w:rPr>
          <w:sz w:val="28"/>
          <w:szCs w:val="28"/>
          <w:u w:val="single"/>
        </w:rPr>
        <w:t> 1949 года</w:t>
      </w:r>
      <w:r>
        <w:rPr>
          <w:sz w:val="28"/>
          <w:szCs w:val="28"/>
        </w:rPr>
        <w:t> театр закрыли. </w:t>
      </w:r>
    </w:p>
    <w:p>
      <w:pPr>
        <w:pStyle w:val="NormalWeb"/>
        <w:spacing w:before="0" w:afterAutospacing="0" w:after="150"/>
        <w:ind w:firstLine="375"/>
        <w:rPr>
          <w:sz w:val="28"/>
          <w:szCs w:val="28"/>
        </w:rPr>
      </w:pPr>
      <w:r>
        <w:rPr>
          <w:sz w:val="28"/>
          <w:szCs w:val="28"/>
        </w:rPr>
        <w:t>Но уже через год неутомимый Степан Михайлович Федоров, ныне Почетный гражданин города Ишима, вновь собрал артистов в любительский кружок при городском Доме культуры. Так началась новая эра в развитии Ишимского театра, как всегда самодеятельного.</w:t>
      </w:r>
    </w:p>
    <w:p>
      <w:pPr>
        <w:pStyle w:val="NormalWeb"/>
        <w:spacing w:before="0" w:afterAutospacing="0" w:after="150"/>
        <w:ind w:firstLine="375"/>
        <w:rPr>
          <w:sz w:val="28"/>
          <w:szCs w:val="28"/>
        </w:rPr>
      </w:pPr>
      <w:r>
        <w:rPr>
          <w:sz w:val="28"/>
          <w:szCs w:val="28"/>
        </w:rPr>
        <w:t>Во время войны и в первые послевоенные годы не только Омский ТЮЗ и ишимские артисты радовали своим искусством горожан, но и гастролеры из других театров. Приезжал Вольф Мессинг с психологическими опытами передачи мыслей на расстоянии. Ишим стал первым гастрольным городом для народного артиста СССР, режиссера Евгения Матвеева. В 1947 году он приезжал сюда молодым артистом и надолго запомнил наших зрителей. Каждый год Тюменский театр драмы привозил в Ишим богатый репертуар - не меньше восьми спектаклей в месяц - рассчитанный не только на взрослого зрителя, но и на детей. Приезжали, как правило, в июле.</w:t>
      </w:r>
    </w:p>
    <w:p>
      <w:pPr>
        <w:pStyle w:val="NormalWeb"/>
        <w:spacing w:before="0" w:afterAutospacing="0" w:after="150"/>
        <w:ind w:firstLine="375"/>
        <w:rPr>
          <w:sz w:val="28"/>
          <w:szCs w:val="28"/>
        </w:rPr>
      </w:pPr>
      <w:r>
        <w:rPr>
          <w:sz w:val="28"/>
          <w:szCs w:val="28"/>
          <w:u w:val="single"/>
        </w:rPr>
        <w:t>В 1950-е</w:t>
      </w:r>
      <w:r>
        <w:rPr>
          <w:sz w:val="28"/>
          <w:szCs w:val="28"/>
        </w:rPr>
        <w:t> годы директор ГДК Ким Аркадьевич Осинцев пригласил из Минусинского драмтеатра актера и режиссера Игоря Георгиевича Букина. К режиссерской работе в Ишиме он приступил в 1954 году. </w:t>
      </w:r>
    </w:p>
    <w:p>
      <w:pPr>
        <w:pStyle w:val="NormalWeb"/>
        <w:spacing w:before="0" w:afterAutospacing="0" w:after="150"/>
        <w:ind w:firstLine="375"/>
        <w:rPr>
          <w:sz w:val="28"/>
          <w:szCs w:val="28"/>
        </w:rPr>
      </w:pPr>
      <w:r>
        <w:rPr>
          <w:sz w:val="28"/>
          <w:szCs w:val="28"/>
        </w:rPr>
        <w:t>Драматический коллектив был многочисленный, в основном молодежь и люди среднего возраста, работали с азартом и полной самоотдачей. Участвовали в ежегодных областных смотрах художественной самодеятельности и 30 октября 1959 году на очередном смотре в г. Тюмени драматический коллектив Дома культуры города Ишима был удостоен звания «Народный». Играли спектакль «Барабанщица» по пьесе А. Салынского.</w:t>
      </w:r>
    </w:p>
    <w:p>
      <w:pPr>
        <w:pStyle w:val="NormalWeb"/>
        <w:spacing w:before="0" w:afterAutospacing="0" w:after="150"/>
        <w:ind w:firstLine="375"/>
        <w:rPr>
          <w:sz w:val="28"/>
          <w:szCs w:val="28"/>
        </w:rPr>
      </w:pPr>
      <w:r>
        <w:rPr>
          <w:sz w:val="28"/>
          <w:szCs w:val="28"/>
        </w:rPr>
        <w:t>После И.Г. Букина режиссером стал М.Л. Стафеев, затем С.Е. Клебанов и М.С. Волковец. Постановки готовили очень тщательно и подолгу, во многих участвовали учащиеся музыкальной школы, танцевальные коллективы. В спектакле по пьесе Д. Ашкенадзе «Герои не умирают» было задействовано 73 человека: симфонический оркестр музыкальной школы и массовка из учащихся ГПТУ и рабочих механического завода.</w:t>
      </w:r>
    </w:p>
    <w:p>
      <w:pPr>
        <w:pStyle w:val="NormalWeb"/>
        <w:spacing w:before="0" w:afterAutospacing="0" w:after="150"/>
        <w:ind w:firstLine="375"/>
        <w:rPr>
          <w:sz w:val="28"/>
          <w:szCs w:val="28"/>
        </w:rPr>
      </w:pPr>
      <w:r>
        <w:rPr>
          <w:sz w:val="28"/>
          <w:szCs w:val="28"/>
          <w:u w:val="single"/>
        </w:rPr>
        <w:t>В 1970 году</w:t>
      </w:r>
      <w:r>
        <w:rPr>
          <w:sz w:val="28"/>
          <w:szCs w:val="28"/>
        </w:rPr>
        <w:t> в городе появился другой коллектив Народного театра и опять под руководством режиссера И.Г. Букина. Он перешел в ЖДК им. Ленина в конце 60-х годов и возглавил коллектив самодеятельного театра при клубе. Звание «Народного» коллектив получил за спектакль «Бой с тенью» по пьесе В. Тур. Оба ишимских Народных театра работали плодотворно и дружно. Были случаи, когда артисты переходили из коллектива в коллектив на время постановки спектакля по приглашению режиссера. В 70-е годы в Тюменской области всего было 13 Народных театров, и два из них работало в Ишиме. </w:t>
      </w:r>
    </w:p>
    <w:p>
      <w:pPr>
        <w:pStyle w:val="NormalWeb"/>
        <w:spacing w:before="0" w:afterAutospacing="0" w:after="150"/>
        <w:ind w:firstLine="375"/>
        <w:rPr>
          <w:sz w:val="28"/>
          <w:szCs w:val="28"/>
        </w:rPr>
      </w:pPr>
      <w:r>
        <w:rPr>
          <w:sz w:val="28"/>
          <w:szCs w:val="28"/>
        </w:rPr>
        <w:t>С развитием телевидения интерес к театру начал угасать. Последней постановкой народного театра Дома культуры стала пьеса В. Шукшина «После третьих петухов». Спектакль состоялся </w:t>
      </w:r>
      <w:r>
        <w:rPr>
          <w:sz w:val="28"/>
          <w:szCs w:val="28"/>
          <w:u w:val="single"/>
        </w:rPr>
        <w:t>3 мая 1994 года</w:t>
      </w:r>
      <w:r>
        <w:rPr>
          <w:sz w:val="28"/>
          <w:szCs w:val="28"/>
        </w:rPr>
        <w:t>, прошел один раз и больше коллектив не собирался.</w:t>
      </w:r>
    </w:p>
    <w:p>
      <w:pPr>
        <w:pStyle w:val="NormalWeb"/>
        <w:spacing w:before="0" w:afterAutospacing="0" w:after="240"/>
        <w:ind w:firstLine="375"/>
        <w:rPr>
          <w:sz w:val="28"/>
          <w:szCs w:val="28"/>
        </w:rPr>
      </w:pPr>
      <w:r>
        <w:rPr>
          <w:sz w:val="28"/>
          <w:szCs w:val="28"/>
        </w:rPr>
        <w:t>В настоящее время в Ишиме работает коллектив Народного театра в новом составе. Первой постановкой возродившегося театра стал спектакль «Самоубийца» по пьесе Н. Эрдмана в марте 1998 года. С тех пор и началась традиция ежегодных премьер к Дню театра. Театр назвали </w:t>
      </w:r>
      <w:r>
        <w:rPr>
          <w:b/>
          <w:bCs/>
          <w:sz w:val="28"/>
          <w:szCs w:val="28"/>
        </w:rPr>
        <w:t>«Зеркало»</w:t>
      </w:r>
      <w:r>
        <w:rPr>
          <w:sz w:val="28"/>
          <w:szCs w:val="28"/>
        </w:rPr>
        <w:t>, его самодеятельные артисты, в основном, студенты, поэтому и зависит работа театра от учебного процесса (лето - время каникул). Через год, в </w:t>
      </w:r>
      <w:r>
        <w:rPr>
          <w:sz w:val="28"/>
          <w:szCs w:val="28"/>
          <w:u w:val="single"/>
        </w:rPr>
        <w:t>апреле 1999 года</w:t>
      </w:r>
      <w:r>
        <w:rPr>
          <w:sz w:val="28"/>
          <w:szCs w:val="28"/>
        </w:rPr>
        <w:t>, спектаклем «Некто в котелке» по А. Милну коллектив подтвердил звание Народного и получил диплом II степени. В первые годы XXI века в Ишиме проходили ежегодные «Театральные игрища» - конкурс творческих работ самодеятельных театров районов юга Тюменской области. </w:t>
      </w:r>
    </w:p>
    <w:p>
      <w:pPr>
        <w:pStyle w:val="NormalWeb"/>
        <w:spacing w:before="0" w:afterAutospacing="0" w:after="150"/>
        <w:ind w:firstLine="375"/>
        <w:rPr/>
      </w:pPr>
      <w:r>
        <w:rPr>
          <w:sz w:val="28"/>
          <w:szCs w:val="28"/>
        </w:rPr>
        <w:t>В 1998 году возрождённый театр ютился под крышей городского ДК. </w:t>
      </w:r>
      <w:r>
        <w:rPr>
          <w:sz w:val="28"/>
          <w:szCs w:val="28"/>
          <w:u w:val="single"/>
        </w:rPr>
        <w:t>В 2010 году</w:t>
      </w:r>
      <w:r>
        <w:rPr>
          <w:sz w:val="28"/>
          <w:szCs w:val="28"/>
        </w:rPr>
        <w:t> театр получил в свое распоряжение одноэтажное белокаменное здание по улице Казанской, 1. Здание построено в 1964 году, сначала здесь работал кинотеатр «Мир», с 1995 года размещался </w:t>
      </w:r>
      <w:hyperlink r:id="rId2" w:tgtFrame="_blank">
        <w:r>
          <w:rPr>
            <w:rStyle w:val="Style17"/>
            <w:color w:val="auto"/>
            <w:sz w:val="28"/>
            <w:szCs w:val="28"/>
            <w:u w:val="none"/>
          </w:rPr>
          <w:t>детский центр «Мир музыки»</w:t>
        </w:r>
      </w:hyperlink>
      <w:r>
        <w:rPr>
          <w:sz w:val="28"/>
          <w:szCs w:val="28"/>
        </w:rPr>
        <w:t>.</w:t>
      </w:r>
    </w:p>
    <w:p>
      <w:pPr>
        <w:pStyle w:val="NormalWeb"/>
        <w:spacing w:before="0" w:afterAutospacing="0" w:after="150"/>
        <w:ind w:firstLine="375"/>
        <w:rPr>
          <w:sz w:val="28"/>
          <w:szCs w:val="28"/>
        </w:rPr>
      </w:pPr>
      <w:r>
        <w:rPr>
          <w:sz w:val="28"/>
          <w:szCs w:val="28"/>
        </w:rPr>
        <w:t>Когда в </w:t>
      </w:r>
      <w:r>
        <w:rPr>
          <w:sz w:val="28"/>
          <w:szCs w:val="28"/>
          <w:u w:val="single"/>
        </w:rPr>
        <w:t xml:space="preserve">начале 2010 года </w:t>
      </w:r>
      <w:r>
        <w:rPr>
          <w:sz w:val="28"/>
          <w:szCs w:val="28"/>
        </w:rPr>
        <w:t>помещение отдавали под театр, многие посчитали это абсурдом. Но режиссёр и артисты убедили руководство, чтобы дали возможность попробовать. Понадобились совсем незначительные перемены, чтобы создать мир театра: поменяли одежду сцены, на заработанные от гастролей деньги оформили гардероб и костюмерную. Бывший актёр, художник Василий Пархоменко написал для стен зрительного зала портреты знаменитостей: Александра Пушкина, Петра Ершова, Николая Гоголя, Александра Островского, Антона Чехова и Константина Станиславского. В зале – необычная мобильная сцена. Без кулис, она овалом выдаётся в зрительный зал, что создаёт эффект участия зрителей в действии. Разноплановые тканевые декорации на заднике можно легко раздвигать, драпировать, кажется, что за ними - большое пространство, а там на самом деле два «кармана», позволяющие артистам легко, без лишних движений по сцене заканчивать либо начинать мизансцены.</w:t>
      </w:r>
    </w:p>
    <w:p>
      <w:pPr>
        <w:pStyle w:val="NormalWeb"/>
        <w:spacing w:before="0" w:afterAutospacing="0" w:after="150"/>
        <w:ind w:firstLine="375"/>
        <w:rPr/>
      </w:pPr>
      <w:r>
        <w:rPr>
          <w:sz w:val="28"/>
          <w:szCs w:val="28"/>
          <w:u w:val="single"/>
        </w:rPr>
        <w:t>С 2013 года </w:t>
      </w:r>
      <w:r>
        <w:rPr>
          <w:sz w:val="28"/>
          <w:szCs w:val="28"/>
        </w:rPr>
        <w:t>новый сезон ознаменовался ремонтом основного здания, в котором за счёт городского бюджета меняют систему отопления, и репетициями спектакля Николая Эрдмана «Самоубийца». </w:t>
      </w:r>
    </w:p>
    <w:p>
      <w:pPr>
        <w:pStyle w:val="Normal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В 2016 - 2018 годах здание Ишимского театра вновь преобразилось, было обшито сайдингом, а также был проведен капитальный ремонт внутри помещения. В зале был залит пол, и заменена сцена. Возле здания театра теперь есть новая современная парковка, а перед центральным входом - новое покрытие из брусчатки. За театром же располагается не большая, но уютная детская площадка.</w:t>
      </w:r>
    </w:p>
    <w:p>
      <w:pPr>
        <w:pStyle w:val="Normal"/>
        <w:ind w:firstLine="709"/>
        <w:rPr>
          <w:rFonts w:ascii="Times New Roman" w:hAnsi="Times New Roman" w:cs="Times New Roman"/>
          <w:sz w:val="28"/>
          <w:szCs w:val="28"/>
        </w:rPr>
      </w:pPr>
      <w:bookmarkStart w:id="0" w:name="__DdeLink__1538_844912442"/>
      <w:r>
        <w:rPr>
          <w:rFonts w:cs="Times New Roman" w:ascii="Times New Roman" w:hAnsi="Times New Roman"/>
          <w:sz w:val="28"/>
          <w:szCs w:val="28"/>
        </w:rPr>
        <w:t> </w:t>
      </w:r>
      <w:r>
        <w:rPr>
          <w:rFonts w:cs="Times New Roman" w:ascii="Times New Roman" w:hAnsi="Times New Roman"/>
          <w:sz w:val="28"/>
          <w:szCs w:val="28"/>
        </w:rPr>
        <w:t>На данный момент в основной актерский состав Ишимского театра входят: режиссер-постановщик, ведущий актер театра - Данил Султанов; ведущий актер театра - Константин Ларичев; ведущий актер - Александр Изох; актриса основного состава, администратор театра - Елена Павлова</w:t>
      </w:r>
      <w:bookmarkEnd w:id="0"/>
      <w:r>
        <w:rPr>
          <w:rFonts w:cs="Times New Roman" w:ascii="Times New Roman" w:hAnsi="Times New Roman"/>
          <w:sz w:val="28"/>
          <w:szCs w:val="28"/>
        </w:rPr>
        <w:t xml:space="preserve">; актриса основного состава - Нина Малюк; актриса основного состава - Надежда Лам; актер основного состава - Александр Карпов; актриса основного состава - Ирина Горячева; актриса основного состава - Елизавета Шпак;  актриса основного состава - Надежда Караченцева; актер основного состава - Александр Гультяев; актриса основного состава, руководитель детской театральной студии "Пульс" - Юлия Бачурина, актриса основного состава - Любовь Гультяева; актер основного состава - Виктор Целых; актер основного состава - Виктор Шахлин; актриса основного состава - Наталья Денисова; актриса основного состава - Любовь Бакланова; актриса основного состава - Александра Бусыгина; актер основного состава - Арсений Сухорослов; актриса основного состава - Маргарита Ефремова; актер основного состава Роман Мингалев; актриса основного состава - Дарья Султанова; актриса основного состава - Елизавета Денисова.     </w:t>
      </w:r>
    </w:p>
    <w:p>
      <w:pPr>
        <w:pStyle w:val="Normal"/>
        <w:ind w:firstLine="709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                                         </w:t>
      </w:r>
      <w:r>
        <w:rPr>
          <w:rFonts w:cs="Times New Roman" w:ascii="Times New Roman" w:hAnsi="Times New Roman"/>
          <w:b/>
          <w:sz w:val="28"/>
          <w:szCs w:val="28"/>
        </w:rPr>
        <w:t>Практическая часть</w:t>
      </w:r>
    </w:p>
    <w:p>
      <w:pPr>
        <w:pStyle w:val="Normal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В детстве в театр каждого из нас приводят родители. Вот и меня, как и всех, начали приобщать к прекрасному с 3-х лет. Каждый год мы посещали театры, новые постановки. И мне это очень нравилось. И однажды, я подумала, что хочу не только наблюдать за происходящем со стороны ,но и сама участвовать в театральном действии. Так начались мои первые выступления в детском саду. Теперь я учусь в 3 классе и мы в школе организовали с классным руководителем кукольный театр «Игра».</w:t>
      </w:r>
    </w:p>
    <w:p>
      <w:pPr>
        <w:pStyle w:val="Normal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И, наверное, можно было бы остановиться, но меня волновал вопрос : </w:t>
      </w:r>
    </w:p>
    <w:p>
      <w:pPr>
        <w:pStyle w:val="NormalWeb"/>
        <w:spacing w:before="280" w:after="280"/>
        <w:jc w:val="center"/>
        <w:rPr>
          <w:sz w:val="28"/>
          <w:szCs w:val="28"/>
        </w:rPr>
      </w:pPr>
      <w:r>
        <w:rPr>
          <w:sz w:val="28"/>
          <w:szCs w:val="28"/>
        </w:rPr>
        <w:t>«В век современных технологий, имея дома скоростной интернет, 3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 телевизоры, все ли мои сверстники также увлечены театром, как и я? ».</w:t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sz w:val="28"/>
          <w:szCs w:val="28"/>
        </w:rPr>
        <w:t>Мною была разработана анкета, которую я назвала « Театр в Вашей жизни». Анкета состоит из 6 вопросов</w:t>
      </w:r>
      <w:r>
        <w:rPr>
          <w:b/>
          <w:sz w:val="28"/>
          <w:szCs w:val="28"/>
        </w:rPr>
        <w:t>.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>Мы с учителем провели классный час, на котором обсуждались вопросы репертуара современных  театров, частоты их посещения  и ребята заполняли анкету. После уроков мною были проанализированы  все ответы и у меня получились такие результаты: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Web"/>
        <w:spacing w:before="280" w:after="280"/>
        <w:rPr>
          <w:b/>
          <w:b/>
        </w:rPr>
      </w:pPr>
      <w:r>
        <w:rPr>
          <w:b/>
        </w:rPr>
        <w:t>Приложение 3</w:t>
      </w:r>
    </w:p>
    <w:tbl>
      <w:tblPr>
        <w:tblStyle w:val="aa"/>
        <w:tblW w:w="9396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9396"/>
      </w:tblGrid>
      <w:tr>
        <w:trPr/>
        <w:tc>
          <w:tcPr>
            <w:tcW w:w="9396" w:type="dxa"/>
            <w:tcBorders/>
            <w:shd w:fill="auto" w:val="clear"/>
          </w:tcPr>
          <w:p>
            <w:pPr>
              <w:pStyle w:val="NormalWeb"/>
              <w:numPr>
                <w:ilvl w:val="0"/>
                <w:numId w:val="2"/>
              </w:numPr>
              <w:spacing w:lineRule="auto" w:line="240" w:before="280" w:after="0"/>
              <w:jc w:val="center"/>
              <w:rPr/>
            </w:pPr>
            <w:r>
              <w:rPr/>
              <w:t>Какие театры Вы знаете?</w:t>
            </w:r>
          </w:p>
        </w:tc>
      </w:tr>
      <w:tr>
        <w:trPr/>
        <w:tc>
          <w:tcPr>
            <w:tcW w:w="9396" w:type="dxa"/>
            <w:tcBorders/>
            <w:shd w:fill="auto" w:val="clear"/>
          </w:tcPr>
          <w:p>
            <w:pPr>
              <w:pStyle w:val="NormalWeb"/>
              <w:spacing w:lineRule="auto" w:line="240" w:before="280" w:after="0"/>
              <w:rPr>
                <w:sz w:val="28"/>
                <w:szCs w:val="28"/>
              </w:rPr>
            </w:pPr>
            <w:r>
              <w:rPr/>
              <w:drawing>
                <wp:inline distT="0" distB="0" distL="0" distR="0">
                  <wp:extent cx="5784850" cy="1362075"/>
                  <wp:effectExtent l="0" t="0" r="0" b="0"/>
                  <wp:docPr id="1" name="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3"/>
                    </a:graphicData>
                  </a:graphic>
                </wp:inline>
              </w:drawing>
            </w:r>
          </w:p>
        </w:tc>
      </w:tr>
    </w:tbl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</w:r>
    </w:p>
    <w:tbl>
      <w:tblPr>
        <w:tblStyle w:val="aa"/>
        <w:tblW w:w="9464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9464"/>
      </w:tblGrid>
      <w:tr>
        <w:trPr/>
        <w:tc>
          <w:tcPr>
            <w:tcW w:w="9464" w:type="dxa"/>
            <w:tcBorders/>
            <w:shd w:fill="auto" w:val="clear"/>
          </w:tcPr>
          <w:p>
            <w:pPr>
              <w:pStyle w:val="NormalWeb"/>
              <w:numPr>
                <w:ilvl w:val="0"/>
                <w:numId w:val="2"/>
              </w:numPr>
              <w:spacing w:lineRule="auto" w:line="240" w:before="280" w:after="0"/>
              <w:jc w:val="center"/>
              <w:rPr/>
            </w:pPr>
            <w:r>
              <w:rPr/>
              <w:t>В каком возрасте первый раз Вы попали в театр?</w:t>
            </w:r>
          </w:p>
        </w:tc>
      </w:tr>
      <w:tr>
        <w:trPr/>
        <w:tc>
          <w:tcPr>
            <w:tcW w:w="9464" w:type="dxa"/>
            <w:tcBorders/>
            <w:shd w:fill="auto" w:val="clear"/>
          </w:tcPr>
          <w:p>
            <w:pPr>
              <w:pStyle w:val="NormalWeb"/>
              <w:spacing w:lineRule="auto" w:line="240" w:before="280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Web"/>
              <w:spacing w:lineRule="auto" w:line="240" w:before="280" w:after="0"/>
              <w:rPr>
                <w:sz w:val="28"/>
                <w:szCs w:val="28"/>
              </w:rPr>
            </w:pPr>
            <w:r>
              <w:rPr/>
              <w:drawing>
                <wp:inline distT="0" distB="0" distL="0" distR="0">
                  <wp:extent cx="6127750" cy="1428750"/>
                  <wp:effectExtent l="0" t="0" r="0" b="0"/>
                  <wp:docPr id="2" name="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4"/>
                    </a:graphicData>
                  </a:graphic>
                </wp:inline>
              </w:drawing>
            </w:r>
          </w:p>
        </w:tc>
      </w:tr>
    </w:tbl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</w:r>
    </w:p>
    <w:tbl>
      <w:tblPr>
        <w:tblStyle w:val="aa"/>
        <w:tblW w:w="9396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9396"/>
      </w:tblGrid>
      <w:tr>
        <w:trPr/>
        <w:tc>
          <w:tcPr>
            <w:tcW w:w="9396" w:type="dxa"/>
            <w:tcBorders/>
            <w:shd w:fill="auto" w:val="clear"/>
          </w:tcPr>
          <w:p>
            <w:pPr>
              <w:pStyle w:val="NormalWeb"/>
              <w:numPr>
                <w:ilvl w:val="0"/>
                <w:numId w:val="2"/>
              </w:numPr>
              <w:spacing w:lineRule="auto" w:line="240" w:before="280" w:after="0"/>
              <w:jc w:val="center"/>
              <w:rPr/>
            </w:pPr>
            <w:r>
              <w:rPr/>
              <w:t>Как часто вы ходите в театр?</w:t>
            </w:r>
          </w:p>
        </w:tc>
      </w:tr>
      <w:tr>
        <w:trPr/>
        <w:tc>
          <w:tcPr>
            <w:tcW w:w="9396" w:type="dxa"/>
            <w:tcBorders/>
            <w:shd w:fill="auto" w:val="clear"/>
          </w:tcPr>
          <w:p>
            <w:pPr>
              <w:pStyle w:val="NormalWeb"/>
              <w:spacing w:lineRule="auto" w:line="240" w:before="280" w:after="0"/>
              <w:rPr>
                <w:sz w:val="28"/>
                <w:szCs w:val="28"/>
              </w:rPr>
            </w:pPr>
            <w:r>
              <w:rPr/>
              <w:drawing>
                <wp:inline distT="0" distB="0" distL="0" distR="0">
                  <wp:extent cx="5784850" cy="1685925"/>
                  <wp:effectExtent l="0" t="0" r="0" b="0"/>
                  <wp:docPr id="3" name="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5"/>
                    </a:graphicData>
                  </a:graphic>
                </wp:inline>
              </w:drawing>
            </w:r>
          </w:p>
        </w:tc>
      </w:tr>
    </w:tbl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</w:r>
    </w:p>
    <w:tbl>
      <w:tblPr>
        <w:tblStyle w:val="aa"/>
        <w:tblW w:w="9396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9396"/>
      </w:tblGrid>
      <w:tr>
        <w:trPr/>
        <w:tc>
          <w:tcPr>
            <w:tcW w:w="9396" w:type="dxa"/>
            <w:tcBorders/>
            <w:shd w:fill="auto" w:val="clear"/>
          </w:tcPr>
          <w:p>
            <w:pPr>
              <w:pStyle w:val="NormalWeb"/>
              <w:numPr>
                <w:ilvl w:val="0"/>
                <w:numId w:val="2"/>
              </w:numPr>
              <w:spacing w:lineRule="auto" w:line="240" w:before="280" w:after="0"/>
              <w:jc w:val="center"/>
              <w:rPr/>
            </w:pPr>
            <w:r>
              <w:rPr/>
              <w:t>Кто является инициатором этих походов?</w:t>
            </w:r>
          </w:p>
        </w:tc>
      </w:tr>
      <w:tr>
        <w:trPr/>
        <w:tc>
          <w:tcPr>
            <w:tcW w:w="9396" w:type="dxa"/>
            <w:tcBorders/>
            <w:shd w:fill="auto" w:val="clear"/>
          </w:tcPr>
          <w:p>
            <w:pPr>
              <w:pStyle w:val="NormalWeb"/>
              <w:spacing w:lineRule="auto" w:line="240" w:before="280" w:after="0"/>
              <w:rPr>
                <w:sz w:val="28"/>
                <w:szCs w:val="28"/>
              </w:rPr>
            </w:pPr>
            <w:r>
              <w:rPr/>
              <w:drawing>
                <wp:inline distT="0" distB="0" distL="0" distR="0">
                  <wp:extent cx="5784850" cy="1819275"/>
                  <wp:effectExtent l="0" t="0" r="0" b="0"/>
                  <wp:docPr id="4" name="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6"/>
                    </a:graphicData>
                  </a:graphic>
                </wp:inline>
              </w:drawing>
            </w:r>
          </w:p>
        </w:tc>
      </w:tr>
    </w:tbl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</w:r>
    </w:p>
    <w:tbl>
      <w:tblPr>
        <w:tblStyle w:val="aa"/>
        <w:tblW w:w="9464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9464"/>
      </w:tblGrid>
      <w:tr>
        <w:trPr/>
        <w:tc>
          <w:tcPr>
            <w:tcW w:w="9464" w:type="dxa"/>
            <w:tcBorders/>
            <w:shd w:fill="auto" w:val="clear"/>
          </w:tcPr>
          <w:p>
            <w:pPr>
              <w:pStyle w:val="NormalWeb"/>
              <w:numPr>
                <w:ilvl w:val="0"/>
                <w:numId w:val="2"/>
              </w:numPr>
              <w:spacing w:lineRule="auto" w:line="240" w:before="280" w:after="0"/>
              <w:jc w:val="center"/>
              <w:rPr/>
            </w:pPr>
            <w:r>
              <w:rPr/>
              <w:t>Нравится ли вам бывать в театре?</w:t>
            </w:r>
          </w:p>
        </w:tc>
      </w:tr>
      <w:tr>
        <w:trPr/>
        <w:tc>
          <w:tcPr>
            <w:tcW w:w="9464" w:type="dxa"/>
            <w:tcBorders/>
            <w:shd w:fill="auto" w:val="clear"/>
          </w:tcPr>
          <w:p>
            <w:pPr>
              <w:pStyle w:val="NormalWeb"/>
              <w:spacing w:lineRule="auto" w:line="240" w:before="280" w:after="0"/>
              <w:rPr>
                <w:sz w:val="28"/>
                <w:szCs w:val="28"/>
              </w:rPr>
            </w:pPr>
            <w:r>
              <w:rPr/>
              <w:drawing>
                <wp:inline distT="0" distB="0" distL="0" distR="0">
                  <wp:extent cx="5784850" cy="1714500"/>
                  <wp:effectExtent l="0" t="0" r="0" b="0"/>
                  <wp:docPr id="5" name="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7"/>
                    </a:graphicData>
                  </a:graphic>
                </wp:inline>
              </w:drawing>
            </w:r>
          </w:p>
        </w:tc>
      </w:tr>
    </w:tbl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</w:r>
    </w:p>
    <w:tbl>
      <w:tblPr>
        <w:tblStyle w:val="aa"/>
        <w:tblW w:w="9464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9464"/>
      </w:tblGrid>
      <w:tr>
        <w:trPr/>
        <w:tc>
          <w:tcPr>
            <w:tcW w:w="9464" w:type="dxa"/>
            <w:tcBorders/>
            <w:shd w:fill="auto" w:val="clear"/>
          </w:tcPr>
          <w:p>
            <w:pPr>
              <w:pStyle w:val="NormalWeb"/>
              <w:numPr>
                <w:ilvl w:val="0"/>
                <w:numId w:val="2"/>
              </w:numPr>
              <w:spacing w:lineRule="auto" w:line="240" w:before="280" w:after="0"/>
              <w:jc w:val="center"/>
              <w:rPr/>
            </w:pPr>
            <w:r>
              <w:rPr/>
              <w:t>Зачем Вы ходите в театр?</w:t>
            </w:r>
          </w:p>
        </w:tc>
      </w:tr>
      <w:tr>
        <w:trPr/>
        <w:tc>
          <w:tcPr>
            <w:tcW w:w="9464" w:type="dxa"/>
            <w:tcBorders/>
            <w:shd w:fill="auto" w:val="clear"/>
          </w:tcPr>
          <w:p>
            <w:pPr>
              <w:pStyle w:val="NormalWeb"/>
              <w:spacing w:lineRule="auto" w:line="240" w:before="280" w:after="0"/>
              <w:rPr>
                <w:sz w:val="28"/>
                <w:szCs w:val="28"/>
              </w:rPr>
            </w:pPr>
            <w:r>
              <w:rPr/>
              <w:drawing>
                <wp:inline distT="0" distB="0" distL="0" distR="0">
                  <wp:extent cx="5784850" cy="1952625"/>
                  <wp:effectExtent l="0" t="0" r="0" b="0"/>
                  <wp:docPr id="6" name="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8"/>
                    </a:graphicData>
                  </a:graphic>
                </wp:inline>
              </w:drawing>
            </w:r>
          </w:p>
        </w:tc>
      </w:tr>
    </w:tbl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Web"/>
        <w:spacing w:before="280" w:after="280"/>
        <w:rPr/>
      </w:pPr>
      <w:r>
        <w:rPr/>
      </w:r>
    </w:p>
    <w:p>
      <w:pPr>
        <w:pStyle w:val="NormalWeb"/>
        <w:spacing w:before="280" w:after="280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w:t>ЗАКЛЮЧЕНИЕ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>Проведя исследование и проанализировав анкеты ребят, я, к моему удивлению, обнаружила, что моё предположение было ошибочным. В наш быстрый век высоких технологий, ребята не только знают театры , но часто посещают наш городской театр для культурного самообразования. Особенно хотят посещать театр всем классом для сплочения более дружного коллектива, для обсуждения в коллективе собственных впечатлений.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>Исходя из всего выше сказанного, я решила не только чаще приглашать ребят на  спектакли ,но и им самим принимать в них участие.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>Результаты моего исследования помогли моему классному руководителю наметить пути внешкольной воспитательной работы. Мы обсудили  и разработали программу на 2019 год , «Год театра и кино» , по посещению культурно – массовых мероприятий: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>1.)Посетить Ишимскую детскую театральную студию «Пульс» с репертуаром «Котенок на снегу», «Сказка на крыше».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2.)Пригласить с новогодней программой мини –театр из «Согласие».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В следующем году я продолжу работу над этой темой, предложив ребятам новую анкету.</w:t>
      </w:r>
    </w:p>
    <w:p>
      <w:pPr>
        <w:pStyle w:val="NormalWeb"/>
        <w:spacing w:before="280" w:after="280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Закончить свое выступление я хотела бы такими словами:</w:t>
      </w:r>
    </w:p>
    <w:p>
      <w:pPr>
        <w:pStyle w:val="C3"/>
        <w:shd w:val="clear" w:color="auto" w:fill="FFFFFF"/>
        <w:spacing w:beforeAutospacing="0" w:before="0" w:afterAutospacing="0" w:after="0"/>
        <w:rPr>
          <w:color w:val="000000"/>
          <w:sz w:val="28"/>
          <w:szCs w:val="28"/>
        </w:rPr>
      </w:pPr>
      <w:r>
        <w:rPr>
          <w:rStyle w:val="C9"/>
          <w:b/>
          <w:bCs/>
          <w:color w:val="000000"/>
          <w:sz w:val="28"/>
          <w:szCs w:val="28"/>
        </w:rPr>
        <w:t>ТЕАТР (Владимир Миодушевский)</w:t>
      </w:r>
    </w:p>
    <w:p>
      <w:pPr>
        <w:pStyle w:val="C3"/>
        <w:shd w:val="clear" w:color="auto" w:fill="FFFFFF"/>
        <w:spacing w:beforeAutospacing="0" w:before="0" w:afterAutospacing="0" w:after="0"/>
        <w:rPr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Театр – это мысли свободный полет,</w:t>
      </w:r>
      <w:r>
        <w:rPr>
          <w:color w:val="000000"/>
          <w:sz w:val="28"/>
          <w:szCs w:val="28"/>
        </w:rPr>
        <w:br/>
      </w:r>
      <w:r>
        <w:rPr>
          <w:rStyle w:val="C0"/>
          <w:color w:val="000000"/>
          <w:sz w:val="28"/>
          <w:szCs w:val="28"/>
        </w:rPr>
        <w:t>Театр - здесь фантазия щедро цветет.</w:t>
      </w:r>
      <w:r>
        <w:rPr>
          <w:color w:val="000000"/>
          <w:sz w:val="28"/>
          <w:szCs w:val="28"/>
        </w:rPr>
        <w:br/>
      </w:r>
      <w:r>
        <w:rPr>
          <w:rStyle w:val="C0"/>
          <w:color w:val="000000"/>
          <w:sz w:val="28"/>
          <w:szCs w:val="28"/>
        </w:rPr>
        <w:t>В театре сердец расплавляется лед.</w:t>
      </w:r>
      <w:r>
        <w:rPr>
          <w:color w:val="000000"/>
          <w:sz w:val="28"/>
          <w:szCs w:val="28"/>
        </w:rPr>
        <w:br/>
      </w:r>
      <w:r>
        <w:rPr>
          <w:rStyle w:val="C0"/>
          <w:color w:val="000000"/>
          <w:sz w:val="28"/>
          <w:szCs w:val="28"/>
        </w:rPr>
        <w:t>И чудо рождается здесь</w:t>
      </w:r>
      <w:r>
        <w:rPr>
          <w:color w:val="000000"/>
          <w:sz w:val="28"/>
          <w:szCs w:val="28"/>
        </w:rPr>
        <w:br/>
      </w:r>
      <w:r>
        <w:rPr>
          <w:rStyle w:val="C0"/>
          <w:color w:val="000000"/>
          <w:sz w:val="28"/>
          <w:szCs w:val="28"/>
        </w:rPr>
        <w:t>с третьим звонком.</w:t>
      </w:r>
    </w:p>
    <w:p>
      <w:pPr>
        <w:pStyle w:val="C3"/>
        <w:shd w:val="clear" w:color="auto" w:fill="FFFFFF"/>
        <w:spacing w:beforeAutospacing="0" w:before="0" w:afterAutospacing="0" w:after="0"/>
        <w:rPr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Театр - здесь искусства в едино сплелись.</w:t>
      </w:r>
      <w:r>
        <w:rPr>
          <w:color w:val="000000"/>
          <w:sz w:val="28"/>
          <w:szCs w:val="28"/>
        </w:rPr>
        <w:br/>
      </w:r>
      <w:r>
        <w:rPr>
          <w:rStyle w:val="C0"/>
          <w:color w:val="000000"/>
          <w:sz w:val="28"/>
          <w:szCs w:val="28"/>
        </w:rPr>
        <w:t>Театр - здесь мечта и реальность слились.</w:t>
      </w:r>
      <w:r>
        <w:rPr>
          <w:color w:val="000000"/>
          <w:sz w:val="28"/>
          <w:szCs w:val="28"/>
        </w:rPr>
        <w:br/>
      </w:r>
      <w:r>
        <w:rPr>
          <w:rStyle w:val="C0"/>
          <w:color w:val="000000"/>
          <w:sz w:val="28"/>
          <w:szCs w:val="28"/>
        </w:rPr>
        <w:t>Театр - здесь все помыслы тянутся ввысь.</w:t>
      </w:r>
      <w:r>
        <w:rPr>
          <w:color w:val="000000"/>
          <w:sz w:val="28"/>
          <w:szCs w:val="28"/>
        </w:rPr>
        <w:br/>
      </w:r>
      <w:r>
        <w:rPr>
          <w:rStyle w:val="C0"/>
          <w:color w:val="000000"/>
          <w:sz w:val="28"/>
          <w:szCs w:val="28"/>
        </w:rPr>
        <w:t>И чудо рождается здесь</w:t>
      </w:r>
      <w:r>
        <w:rPr>
          <w:color w:val="000000"/>
          <w:sz w:val="28"/>
          <w:szCs w:val="28"/>
        </w:rPr>
        <w:br/>
      </w:r>
      <w:r>
        <w:rPr>
          <w:rStyle w:val="C0"/>
          <w:color w:val="000000"/>
          <w:sz w:val="28"/>
          <w:szCs w:val="28"/>
        </w:rPr>
        <w:t>с третьим звонком.</w:t>
      </w:r>
    </w:p>
    <w:p>
      <w:pPr>
        <w:pStyle w:val="C3"/>
        <w:shd w:val="clear" w:color="auto" w:fill="FFFFFF"/>
        <w:spacing w:beforeAutospacing="0" w:before="0" w:afterAutospacing="0" w:after="0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Театр - и работа, и дом, где живем,</w:t>
      </w:r>
      <w:r>
        <w:rPr>
          <w:color w:val="000000"/>
          <w:sz w:val="28"/>
          <w:szCs w:val="28"/>
        </w:rPr>
        <w:br/>
      </w:r>
      <w:r>
        <w:rPr>
          <w:rStyle w:val="C0"/>
          <w:color w:val="000000"/>
          <w:sz w:val="28"/>
          <w:szCs w:val="28"/>
        </w:rPr>
        <w:t>Театр - здесь себя до конца отдаем.</w:t>
      </w:r>
      <w:r>
        <w:rPr>
          <w:color w:val="000000"/>
          <w:sz w:val="28"/>
          <w:szCs w:val="28"/>
        </w:rPr>
        <w:br/>
      </w:r>
      <w:r>
        <w:rPr>
          <w:rStyle w:val="C0"/>
          <w:color w:val="000000"/>
          <w:sz w:val="28"/>
          <w:szCs w:val="28"/>
        </w:rPr>
        <w:t>В театре родимся, в театре умрем.</w:t>
      </w:r>
      <w:r>
        <w:rPr>
          <w:color w:val="000000"/>
          <w:sz w:val="28"/>
          <w:szCs w:val="28"/>
        </w:rPr>
        <w:br/>
      </w:r>
      <w:r>
        <w:rPr>
          <w:rStyle w:val="C0"/>
          <w:color w:val="000000"/>
          <w:sz w:val="28"/>
          <w:szCs w:val="28"/>
        </w:rPr>
        <w:t>Ведь чудо рождается здесь</w:t>
      </w:r>
      <w:r>
        <w:rPr>
          <w:color w:val="000000"/>
          <w:sz w:val="28"/>
          <w:szCs w:val="28"/>
        </w:rPr>
        <w:br/>
      </w:r>
      <w:r>
        <w:rPr>
          <w:rStyle w:val="C0"/>
          <w:color w:val="000000"/>
          <w:sz w:val="28"/>
          <w:szCs w:val="28"/>
        </w:rPr>
        <w:t>с третьим звонком.</w:t>
      </w:r>
    </w:p>
    <w:p>
      <w:pPr>
        <w:pStyle w:val="C3"/>
        <w:shd w:val="clear" w:color="auto" w:fill="FFFFFF"/>
        <w:spacing w:beforeAutospacing="0" w:before="0" w:afterAutospacing="0" w:after="0"/>
        <w:rPr>
          <w:rStyle w:val="C0"/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C3"/>
        <w:shd w:val="clear" w:color="auto" w:fill="FFFFFF"/>
        <w:spacing w:beforeAutospacing="0" w:before="0" w:afterAutospacing="0" w:after="0"/>
        <w:rPr>
          <w:rStyle w:val="C0"/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C3"/>
        <w:shd w:val="clear" w:color="auto" w:fill="FFFFFF"/>
        <w:spacing w:beforeAutospacing="0" w:before="0" w:afterAutospacing="0" w:after="0"/>
        <w:rPr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 xml:space="preserve">                                       </w:t>
      </w:r>
      <w:r>
        <w:rPr>
          <w:b/>
          <w:sz w:val="28"/>
          <w:szCs w:val="28"/>
        </w:rPr>
        <w:t>Использованная литература:</w:t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  <w:r>
        <w:br w:type="page"/>
      </w:r>
    </w:p>
    <w:p>
      <w:pPr>
        <w:pStyle w:val="Normal"/>
        <w:rPr>
          <w:rFonts w:ascii="Times New Roman" w:hAnsi="Times New Roman" w:cs="Times New Roman"/>
          <w:b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  <w:t>Приложение 1</w:t>
      </w:r>
    </w:p>
    <w:p>
      <w:pPr>
        <w:pStyle w:val="Normal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b/>
          <w:b/>
          <w:sz w:val="28"/>
          <w:szCs w:val="28"/>
        </w:rPr>
      </w:pPr>
      <w:r>
        <w:rPr/>
        <w:drawing>
          <wp:inline distT="0" distB="0" distL="0" distR="0">
            <wp:extent cx="3670300" cy="2466975"/>
            <wp:effectExtent l="0" t="0" r="0" b="0"/>
            <wp:docPr id="7" name="Рисунок 4" descr="ylDJm7_eGb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4" descr="ylDJm7_eGbI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0300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Times New Roman" w:hAnsi="Times New Roman" w:cs="Times New Roman"/>
          <w:b/>
          <w:b/>
          <w:sz w:val="28"/>
          <w:szCs w:val="28"/>
          <w:lang w:eastAsia="ru-RU"/>
        </w:rPr>
      </w:pPr>
      <w:r>
        <w:rPr>
          <w:rFonts w:cs="Times New Roman" w:ascii="Times New Roman" w:hAnsi="Times New Roman"/>
          <w:b/>
          <w:sz w:val="28"/>
          <w:szCs w:val="28"/>
          <w:lang w:eastAsia="ru-RU"/>
        </w:rPr>
        <w:t xml:space="preserve">                                                </w:t>
      </w:r>
      <w:r>
        <w:rPr/>
        <w:drawing>
          <wp:inline distT="0" distB="0" distL="0" distR="0">
            <wp:extent cx="3885565" cy="2676525"/>
            <wp:effectExtent l="0" t="0" r="0" b="0"/>
            <wp:docPr id="8" name="Рисунок 5" descr="6IlOghwzNb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5" descr="6IlOghwzNbo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5565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Times New Roman" w:hAnsi="Times New Roman" w:cs="Times New Roman"/>
          <w:b/>
          <w:b/>
          <w:sz w:val="28"/>
          <w:szCs w:val="28"/>
          <w:lang w:eastAsia="ru-RU"/>
        </w:rPr>
      </w:pPr>
      <w:r>
        <w:rPr/>
        <w:drawing>
          <wp:inline distT="0" distB="0" distL="0" distR="0">
            <wp:extent cx="4133850" cy="2809875"/>
            <wp:effectExtent l="0" t="0" r="0" b="0"/>
            <wp:docPr id="9" name="Рисунок 8" descr="DziwS1Rk_6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 descr="DziwS1Rk_6A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Normal"/>
        <w:rPr>
          <w:rFonts w:ascii="Times New Roman" w:hAnsi="Times New Roman" w:cs="Times New Roman"/>
          <w:b/>
          <w:b/>
          <w:sz w:val="24"/>
          <w:szCs w:val="24"/>
          <w:lang w:eastAsia="ru-RU"/>
        </w:rPr>
      </w:pPr>
      <w:r>
        <w:rPr>
          <w:rFonts w:cs="Times New Roman" w:ascii="Times New Roman" w:hAnsi="Times New Roman"/>
          <w:b/>
          <w:sz w:val="24"/>
          <w:szCs w:val="24"/>
          <w:lang w:eastAsia="ru-RU"/>
        </w:rPr>
        <w:t>Приложение 2</w:t>
      </w:r>
    </w:p>
    <w:p>
      <w:pPr>
        <w:pStyle w:val="Normal"/>
        <w:rPr>
          <w:rFonts w:ascii="Times New Roman" w:hAnsi="Times New Roman" w:cs="Times New Roman"/>
          <w:b/>
          <w:b/>
          <w:sz w:val="28"/>
          <w:szCs w:val="28"/>
          <w:lang w:eastAsia="ru-RU"/>
        </w:rPr>
      </w:pPr>
      <w:r>
        <w:rPr/>
        <w:drawing>
          <wp:inline distT="0" distB="0" distL="0" distR="0">
            <wp:extent cx="3790950" cy="2667000"/>
            <wp:effectExtent l="0" t="0" r="0" b="0"/>
            <wp:docPr id="10" name="Рисунок 9" descr="AmGZdwhhjj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 descr="AmGZdwhhjjE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Times New Roman" w:hAnsi="Times New Roman" w:cs="Times New Roman"/>
          <w:b/>
          <w:b/>
          <w:sz w:val="28"/>
          <w:szCs w:val="28"/>
          <w:lang w:eastAsia="ru-RU"/>
        </w:rPr>
      </w:pPr>
      <w:r>
        <w:rPr>
          <w:rFonts w:cs="Times New Roman" w:ascii="Times New Roman" w:hAnsi="Times New Roman"/>
          <w:b/>
          <w:sz w:val="28"/>
          <w:szCs w:val="28"/>
          <w:lang w:eastAsia="ru-RU"/>
        </w:rPr>
        <w:t xml:space="preserve">                                                </w:t>
      </w:r>
      <w:r>
        <w:rPr/>
        <w:drawing>
          <wp:inline distT="0" distB="0" distL="0" distR="0">
            <wp:extent cx="3850640" cy="2887980"/>
            <wp:effectExtent l="0" t="0" r="0" b="0"/>
            <wp:docPr id="11" name="Рисунок 12" descr="mg8LPwX8Wq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2" descr="mg8LPwX8WqU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0640" cy="2887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Times New Roman" w:hAnsi="Times New Roman" w:cs="Times New Roman"/>
          <w:b/>
          <w:b/>
          <w:sz w:val="28"/>
          <w:szCs w:val="28"/>
          <w:lang w:eastAsia="ru-RU"/>
        </w:rPr>
      </w:pPr>
      <w:r>
        <w:rPr/>
        <w:drawing>
          <wp:inline distT="0" distB="0" distL="0" distR="0">
            <wp:extent cx="4152900" cy="2867025"/>
            <wp:effectExtent l="0" t="0" r="0" b="0"/>
            <wp:docPr id="12" name="Рисунок 13" descr="k0S08pxQ3b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3" descr="k0S08pxQ3bM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Times New Roman" w:hAnsi="Times New Roman" w:cs="Times New Roman"/>
          <w:b/>
          <w:b/>
          <w:sz w:val="24"/>
          <w:szCs w:val="24"/>
          <w:lang w:eastAsia="ru-RU"/>
        </w:rPr>
      </w:pPr>
      <w:r>
        <w:rPr>
          <w:rFonts w:cs="Times New Roman" w:ascii="Times New Roman" w:hAnsi="Times New Roman"/>
          <w:b/>
          <w:sz w:val="24"/>
          <w:szCs w:val="24"/>
          <w:lang w:eastAsia="ru-RU"/>
        </w:rPr>
        <w:t>Приложение 4</w:t>
      </w:r>
    </w:p>
    <w:p>
      <w:pPr>
        <w:pStyle w:val="Normal"/>
        <w:rPr>
          <w:rFonts w:ascii="Times New Roman" w:hAnsi="Times New Roman" w:cs="Times New Roman"/>
          <w:b/>
          <w:b/>
          <w:sz w:val="28"/>
          <w:szCs w:val="28"/>
          <w:lang w:eastAsia="ru-RU"/>
        </w:rPr>
      </w:pPr>
      <w:r>
        <w:rPr>
          <w:rFonts w:cs="Times New Roman" w:ascii="Times New Roman" w:hAnsi="Times New Roman"/>
          <w:b/>
          <w:sz w:val="28"/>
          <w:szCs w:val="28"/>
          <w:lang w:eastAsia="ru-RU"/>
        </w:rPr>
      </w:r>
    </w:p>
    <w:p>
      <w:pPr>
        <w:pStyle w:val="Normal"/>
        <w:rPr>
          <w:rFonts w:ascii="Times New Roman" w:hAnsi="Times New Roman" w:cs="Times New Roman"/>
          <w:b/>
          <w:b/>
          <w:sz w:val="28"/>
          <w:szCs w:val="28"/>
          <w:lang w:eastAsia="ru-RU"/>
        </w:rPr>
      </w:pPr>
      <w:r>
        <w:rPr/>
        <w:drawing>
          <wp:inline distT="0" distB="0" distL="0" distR="0">
            <wp:extent cx="6113780" cy="3838575"/>
            <wp:effectExtent l="0" t="0" r="0" b="0"/>
            <wp:docPr id="13" name="Рисунок 14" descr="Sequence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4" descr="Sequence-01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780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Times New Roman" w:hAnsi="Times New Roman" w:cs="Times New Roman"/>
          <w:b/>
          <w:b/>
          <w:sz w:val="28"/>
          <w:szCs w:val="28"/>
          <w:lang w:eastAsia="ru-RU"/>
        </w:rPr>
      </w:pPr>
      <w:r>
        <w:rPr>
          <w:rFonts w:cs="Times New Roman" w:ascii="Times New Roman" w:hAnsi="Times New Roman"/>
          <w:b/>
          <w:sz w:val="28"/>
          <w:szCs w:val="28"/>
          <w:lang w:eastAsia="ru-RU"/>
        </w:rPr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  <w:drawing>
          <wp:inline distT="0" distB="0" distL="0" distR="0">
            <wp:extent cx="6124575" cy="3810000"/>
            <wp:effectExtent l="0" t="0" r="0" b="0"/>
            <wp:docPr id="14" name="Рисунок 15" descr="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5" descr="09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w:type="default" r:id="rId17"/>
      <w:type w:val="nextPage"/>
      <w:pgSz w:w="11906" w:h="16838"/>
      <w:pgMar w:left="1134" w:right="1134" w:header="0" w:top="1134" w:footer="709" w:bottom="766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Times New Roman">
    <w:charset w:val="cc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25"/>
      <w:rPr/>
    </w:pPr>
    <w:r>
      <w:rPr/>
    </w:r>
  </w:p>
  <w:p>
    <w:pPr>
      <w:pStyle w:val="Style25"/>
      <w:rPr/>
    </w:pPr>
    <w:r>
      <w:rPr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00"/>
  <w:defaultTabStop w:val="708"/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Cs w:val="22"/>
        <w:lang w:val="ru-RU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717b31"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Linenumber">
    <w:name w:val="line number"/>
    <w:basedOn w:val="DefaultParagraphFont"/>
    <w:uiPriority w:val="99"/>
    <w:semiHidden/>
    <w:unhideWhenUsed/>
    <w:qFormat/>
    <w:rsid w:val="00e41178"/>
    <w:rPr/>
  </w:style>
  <w:style w:type="character" w:styleId="Style14" w:customStyle="1">
    <w:name w:val="Верхний колонтитул Знак"/>
    <w:basedOn w:val="DefaultParagraphFont"/>
    <w:link w:val="a4"/>
    <w:uiPriority w:val="99"/>
    <w:qFormat/>
    <w:rsid w:val="00e41178"/>
    <w:rPr/>
  </w:style>
  <w:style w:type="character" w:styleId="Style15" w:customStyle="1">
    <w:name w:val="Нижний колонтитул Знак"/>
    <w:basedOn w:val="DefaultParagraphFont"/>
    <w:link w:val="a6"/>
    <w:uiPriority w:val="99"/>
    <w:qFormat/>
    <w:rsid w:val="00e41178"/>
    <w:rPr/>
  </w:style>
  <w:style w:type="character" w:styleId="Style16" w:customStyle="1">
    <w:name w:val="Текст выноски Знак"/>
    <w:basedOn w:val="DefaultParagraphFont"/>
    <w:link w:val="ab"/>
    <w:uiPriority w:val="99"/>
    <w:semiHidden/>
    <w:qFormat/>
    <w:rsid w:val="0031253b"/>
    <w:rPr>
      <w:rFonts w:ascii="Tahoma" w:hAnsi="Tahoma" w:cs="Tahoma"/>
      <w:sz w:val="16"/>
      <w:szCs w:val="16"/>
    </w:rPr>
  </w:style>
  <w:style w:type="character" w:styleId="Style17">
    <w:name w:val="Интернет-ссылка"/>
    <w:basedOn w:val="DefaultParagraphFont"/>
    <w:uiPriority w:val="99"/>
    <w:semiHidden/>
    <w:unhideWhenUsed/>
    <w:rsid w:val="00ca080f"/>
    <w:rPr>
      <w:color w:val="0000FF"/>
      <w:u w:val="single"/>
    </w:rPr>
  </w:style>
  <w:style w:type="character" w:styleId="C9" w:customStyle="1">
    <w:name w:val="c9"/>
    <w:basedOn w:val="DefaultParagraphFont"/>
    <w:qFormat/>
    <w:rsid w:val="0016761a"/>
    <w:rPr/>
  </w:style>
  <w:style w:type="character" w:styleId="C0" w:customStyle="1">
    <w:name w:val="c0"/>
    <w:basedOn w:val="DefaultParagraphFont"/>
    <w:qFormat/>
    <w:rsid w:val="0016761a"/>
    <w:rPr/>
  </w:style>
  <w:style w:type="paragraph" w:styleId="Style18">
    <w:name w:val="Заголовок"/>
    <w:basedOn w:val="Normal"/>
    <w:next w:val="Style19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9">
    <w:name w:val="Body Text"/>
    <w:basedOn w:val="Normal"/>
    <w:pPr>
      <w:spacing w:lineRule="auto" w:line="276" w:before="0" w:after="140"/>
    </w:pPr>
    <w:rPr/>
  </w:style>
  <w:style w:type="paragraph" w:styleId="Style20">
    <w:name w:val="List"/>
    <w:basedOn w:val="Style19"/>
    <w:pPr/>
    <w:rPr>
      <w:rFonts w:cs="Mangal"/>
    </w:rPr>
  </w:style>
  <w:style w:type="paragraph" w:styleId="Style21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Style22">
    <w:name w:val="Указатель"/>
    <w:basedOn w:val="Normal"/>
    <w:qFormat/>
    <w:pPr>
      <w:suppressLineNumbers/>
    </w:pPr>
    <w:rPr>
      <w:rFonts w:cs="Mangal"/>
    </w:rPr>
  </w:style>
  <w:style w:type="paragraph" w:styleId="Style23">
    <w:name w:val="Верхний и нижний колонтитулы"/>
    <w:basedOn w:val="Normal"/>
    <w:qFormat/>
    <w:pPr/>
    <w:rPr/>
  </w:style>
  <w:style w:type="paragraph" w:styleId="Style24">
    <w:name w:val="Header"/>
    <w:basedOn w:val="Normal"/>
    <w:link w:val="a5"/>
    <w:uiPriority w:val="99"/>
    <w:unhideWhenUsed/>
    <w:rsid w:val="00e41178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Style25">
    <w:name w:val="Footer"/>
    <w:basedOn w:val="Normal"/>
    <w:link w:val="a7"/>
    <w:uiPriority w:val="99"/>
    <w:unhideWhenUsed/>
    <w:rsid w:val="00e41178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ListParagraph">
    <w:name w:val="List Paragraph"/>
    <w:basedOn w:val="Normal"/>
    <w:uiPriority w:val="34"/>
    <w:qFormat/>
    <w:rsid w:val="00e41178"/>
    <w:pPr>
      <w:spacing w:before="0" w:after="200"/>
      <w:ind w:left="720" w:hanging="0"/>
      <w:contextualSpacing/>
    </w:pPr>
    <w:rPr/>
  </w:style>
  <w:style w:type="paragraph" w:styleId="NormalWeb">
    <w:name w:val="Normal (Web)"/>
    <w:basedOn w:val="Normal"/>
    <w:uiPriority w:val="99"/>
    <w:unhideWhenUsed/>
    <w:qFormat/>
    <w:rsid w:val="00e41178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BalloonText">
    <w:name w:val="Balloon Text"/>
    <w:basedOn w:val="Normal"/>
    <w:link w:val="ac"/>
    <w:uiPriority w:val="99"/>
    <w:semiHidden/>
    <w:unhideWhenUsed/>
    <w:qFormat/>
    <w:rsid w:val="0031253b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d337ab"/>
    <w:pPr>
      <w:widowControl/>
      <w:bidi w:val="0"/>
      <w:spacing w:lineRule="auto" w:line="240" w:before="0" w:after="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paragraph" w:styleId="C3" w:customStyle="1">
    <w:name w:val="c3"/>
    <w:basedOn w:val="Normal"/>
    <w:qFormat/>
    <w:rsid w:val="0016761a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aa">
    <w:name w:val="Table Grid"/>
    <w:basedOn w:val="a1"/>
    <w:uiPriority w:val="59"/>
    <w:rsid w:val="0031253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http://safe-rgs.ru/1556-mir-muzyki-na-beregu-ishima.html" TargetMode="External"/><Relationship Id="rId3" Type="http://schemas.openxmlformats.org/officeDocument/2006/relationships/chart" Target="charts/chart1.xml"/><Relationship Id="rId4" Type="http://schemas.openxmlformats.org/officeDocument/2006/relationships/chart" Target="charts/chart2.xml"/><Relationship Id="rId5" Type="http://schemas.openxmlformats.org/officeDocument/2006/relationships/chart" Target="charts/chart3.xml"/><Relationship Id="rId6" Type="http://schemas.openxmlformats.org/officeDocument/2006/relationships/chart" Target="charts/chart4.xml"/><Relationship Id="rId7" Type="http://schemas.openxmlformats.org/officeDocument/2006/relationships/chart" Target="charts/chart5.xml"/><Relationship Id="rId8" Type="http://schemas.openxmlformats.org/officeDocument/2006/relationships/chart" Target="charts/chart6.xml"/><Relationship Id="rId9" Type="http://schemas.openxmlformats.org/officeDocument/2006/relationships/image" Target="media/image1.jpeg"/><Relationship Id="rId10" Type="http://schemas.openxmlformats.org/officeDocument/2006/relationships/image" Target="media/image2.jpeg"/><Relationship Id="rId11" Type="http://schemas.openxmlformats.org/officeDocument/2006/relationships/image" Target="media/image3.jpeg"/><Relationship Id="rId12" Type="http://schemas.openxmlformats.org/officeDocument/2006/relationships/image" Target="media/image4.jpeg"/><Relationship Id="rId13" Type="http://schemas.openxmlformats.org/officeDocument/2006/relationships/image" Target="media/image5.jpeg"/><Relationship Id="rId14" Type="http://schemas.openxmlformats.org/officeDocument/2006/relationships/image" Target="media/image6.jpeg"/><Relationship Id="rId15" Type="http://schemas.openxmlformats.org/officeDocument/2006/relationships/image" Target="media/image7.jpeg"/><Relationship Id="rId16" Type="http://schemas.openxmlformats.org/officeDocument/2006/relationships/image" Target="media/image8.jpeg"/><Relationship Id="rId17" Type="http://schemas.openxmlformats.org/officeDocument/2006/relationships/footer" Target="footer1.xml"/><Relationship Id="rId18" Type="http://schemas.openxmlformats.org/officeDocument/2006/relationships/numbering" Target="numbering.xml"/><Relationship Id="rId19" Type="http://schemas.openxmlformats.org/officeDocument/2006/relationships/fontTable" Target="fontTable.xml"/><Relationship Id="rId20" Type="http://schemas.openxmlformats.org/officeDocument/2006/relationships/settings" Target="settings.xml"/><Relationship Id="rId21" Type="http://schemas.openxmlformats.org/officeDocument/2006/relationships/theme" Target="theme/theme1.xml"/><Relationship Id="rId22" Type="http://schemas.openxmlformats.org/officeDocument/2006/relationships/customXml" Target="../customXml/item1.xml"/>
</Relationships>
</file>

<file path=word/charts/_rels/chart1.xml.rels><?xml version="1.0" encoding="UTF-8"?>
<Relationships xmlns="http://schemas.openxmlformats.org/package/2006/relationships"><Relationship Id="rId1" Type="http://schemas.openxmlformats.org/officeDocument/2006/relationships/package" Target="../embeddings/_____Microsoft_Office_Excel1.xlsx"/>
</Relationships>
</file>

<file path=word/charts/_rels/chart2.xml.rels><?xml version="1.0" encoding="UTF-8"?>
<Relationships xmlns="http://schemas.openxmlformats.org/package/2006/relationships"><Relationship Id="rId1" Type="http://schemas.openxmlformats.org/officeDocument/2006/relationships/package" Target="../embeddings/_____Microsoft_Office_Excel2.xlsx"/>
</Relationships>
</file>

<file path=word/charts/_rels/chart3.xml.rels><?xml version="1.0" encoding="UTF-8"?>
<Relationships xmlns="http://schemas.openxmlformats.org/package/2006/relationships"><Relationship Id="rId1" Type="http://schemas.openxmlformats.org/officeDocument/2006/relationships/package" Target="../embeddings/_____Microsoft_Office_Excel3.xlsx"/>
</Relationships>
</file>

<file path=word/charts/_rels/chart4.xml.rels><?xml version="1.0" encoding="UTF-8"?>
<Relationships xmlns="http://schemas.openxmlformats.org/package/2006/relationships"><Relationship Id="rId1" Type="http://schemas.openxmlformats.org/officeDocument/2006/relationships/package" Target="../embeddings/_____Microsoft_Office_Excel4.xlsx"/>
</Relationships>
</file>

<file path=word/charts/_rels/chart5.xml.rels><?xml version="1.0" encoding="UTF-8"?>
<Relationships xmlns="http://schemas.openxmlformats.org/package/2006/relationships"><Relationship Id="rId1" Type="http://schemas.openxmlformats.org/officeDocument/2006/relationships/package" Target="../embeddings/_____Microsoft_Office_Excel5.xlsx"/>
</Relationships>
</file>

<file path=word/charts/_rels/chart6.xml.rels><?xml version="1.0" encoding="UTF-8"?>
<Relationships xmlns="http://schemas.openxmlformats.org/package/2006/relationships"><Relationship Id="rId1" Type="http://schemas.openxmlformats.org/officeDocument/2006/relationships/package" Target="../embeddings/_____Microsoft_Office_Excel6.xlsx"/>
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en-US"/>
  <c:roundedCorners val="0"/>
  <c:chart>
    <c:plotArea>
      <c:pieChart>
        <c:varyColors val="1"/>
        <c:ser>
          <c:idx val="0"/>
          <c:order val="0"/>
          <c:tx>
            <c:strRef>
              <c:f>label 0</c:f>
              <c:strCache>
                <c:ptCount val="1"/>
                <c:pt idx="0">
                  <c:v>Продажи</c:v>
                </c:pt>
              </c:strCache>
            </c:strRef>
          </c:tx>
          <c:spPr>
            <a:solidFill>
              <a:srgbClr val="4f81bd"/>
            </a:solidFill>
            <a:ln>
              <a:noFill/>
            </a:ln>
          </c:spPr>
          <c:explosion val="27"/>
          <c:dPt>
            <c:idx val="0"/>
            <c:explosion val="27"/>
            <c:spPr>
              <a:solidFill>
                <a:srgbClr val="4f81bd"/>
              </a:solidFill>
              <a:ln>
                <a:noFill/>
              </a:ln>
            </c:spPr>
          </c:dPt>
          <c:dPt>
            <c:idx val="1"/>
            <c:explosion val="27"/>
            <c:spPr>
              <a:solidFill>
                <a:srgbClr val="c0504d"/>
              </a:solidFill>
              <a:ln>
                <a:noFill/>
              </a:ln>
            </c:spPr>
          </c:dPt>
          <c:dPt>
            <c:idx val="2"/>
            <c:explosion val="27"/>
            <c:spPr>
              <a:solidFill>
                <a:srgbClr val="9bbb59"/>
              </a:solidFill>
              <a:ln>
                <a:noFill/>
              </a:ln>
            </c:spPr>
          </c:dPt>
          <c:dPt>
            <c:idx val="3"/>
            <c:explosion val="27"/>
            <c:spPr>
              <a:solidFill>
                <a:srgbClr val="8064a2"/>
              </a:solidFill>
              <a:ln>
                <a:noFill/>
              </a:ln>
            </c:spPr>
          </c:dPt>
          <c:dLbls>
            <c:numFmt formatCode="General" sourceLinked="1"/>
            <c:dLbl>
              <c:idx val="0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1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2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3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txPr>
              <a:bodyPr/>
              <a:lstStyle/>
              <a:p>
                <a:pPr>
                  <a:defRPr b="0" sz="1000" spc="-1" strike="noStrike">
                    <a:solidFill>
                      <a:srgbClr val="000000"/>
                    </a:solidFill>
                    <a:latin typeface="Arial"/>
                  </a:defRPr>
                </a:pPr>
              </a:p>
            </c:txPr>
            <c:dLblPos val="bestFit"/>
            <c:showLegendKey val="0"/>
            <c:showVal val="0"/>
            <c:showCatName val="0"/>
            <c:showSerName val="0"/>
            <c:showPercent val="0"/>
            <c:separator>; </c:separator>
            <c:showLeaderLines val="0"/>
          </c:dLbls>
          <c:cat>
            <c:strRef>
              <c:f>categories</c:f>
              <c:strCache>
                <c:ptCount val="4"/>
                <c:pt idx="0">
                  <c:v>Назвали 1 и более театр - 64%</c:v>
                </c:pt>
                <c:pt idx="1">
                  <c:v>Не знают названия театров - 36%</c:v>
                </c:pt>
                <c:pt idx="2">
                  <c:v/>
                </c:pt>
                <c:pt idx="3">
                  <c:v/>
                </c:pt>
              </c:strCache>
            </c:strRef>
          </c:cat>
          <c:val>
            <c:numRef>
              <c:f>0</c:f>
              <c:numCache>
                <c:formatCode>General</c:formatCode>
                <c:ptCount val="4"/>
                <c:pt idx="0">
                  <c:v>64</c:v>
                </c:pt>
                <c:pt idx="1">
                  <c:v>36</c:v>
                </c:pt>
              </c:numCache>
            </c:numRef>
          </c:val>
        </c:ser>
        <c:firstSliceAng val="0"/>
      </c:pieChart>
      <c:spPr>
        <a:solidFill>
          <a:srgbClr val="ffffff"/>
        </a:solidFill>
        <a:ln>
          <a:noFill/>
        </a:ln>
      </c:spPr>
    </c:plotArea>
    <c:legend>
      <c:layout>
        <c:manualLayout>
          <c:xMode val="edge"/>
          <c:yMode val="edge"/>
          <c:x val="0.6171875"/>
          <c:y val="0.175111111111111"/>
          <c:w val="0.368898056128508"/>
          <c:h val="0.49449938882098"/>
        </c:manualLayout>
      </c:layout>
      <c:spPr>
        <a:noFill/>
        <a:ln>
          <a:noFill/>
        </a:ln>
      </c:spPr>
      <c:txPr>
        <a:bodyPr/>
        <a:lstStyle/>
        <a:p>
          <a:pPr>
            <a:defRPr b="0" sz="1200" spc="-1" strike="noStrike">
              <a:solidFill>
                <a:srgbClr val="000000"/>
              </a:solidFill>
              <a:latin typeface="Times New Roman"/>
            </a:defRPr>
          </a:pPr>
        </a:p>
      </c:txPr>
    </c:legend>
    <c:plotVisOnly val="1"/>
    <c:dispBlanksAs val="gap"/>
  </c:chart>
  <c:spPr>
    <a:solidFill>
      <a:srgbClr val="ffffff"/>
    </a:solidFill>
    <a:ln w="9360">
      <a:noFill/>
    </a:ln>
  </c:sp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en-US"/>
  <c:roundedCorners val="0"/>
  <c:chart>
    <c:plotArea>
      <c:pieChart>
        <c:varyColors val="1"/>
        <c:ser>
          <c:idx val="0"/>
          <c:order val="0"/>
          <c:tx>
            <c:strRef>
              <c:f>label 0</c:f>
              <c:strCache>
                <c:ptCount val="1"/>
                <c:pt idx="0">
                  <c:v>Продажи</c:v>
                </c:pt>
              </c:strCache>
            </c:strRef>
          </c:tx>
          <c:spPr>
            <a:solidFill>
              <a:srgbClr val="4f81bd"/>
            </a:solidFill>
            <a:ln>
              <a:noFill/>
            </a:ln>
          </c:spPr>
          <c:explosion val="0"/>
          <c:dPt>
            <c:idx val="0"/>
            <c:spPr>
              <a:solidFill>
                <a:srgbClr val="4f81bd"/>
              </a:solidFill>
              <a:ln>
                <a:noFill/>
              </a:ln>
            </c:spPr>
          </c:dPt>
          <c:dPt>
            <c:idx val="1"/>
            <c:spPr>
              <a:solidFill>
                <a:srgbClr val="c0504d"/>
              </a:solidFill>
              <a:ln>
                <a:noFill/>
              </a:ln>
            </c:spPr>
          </c:dPt>
          <c:dPt>
            <c:idx val="2"/>
            <c:spPr>
              <a:solidFill>
                <a:srgbClr val="9bbb59"/>
              </a:solidFill>
              <a:ln>
                <a:noFill/>
              </a:ln>
            </c:spPr>
          </c:dPt>
          <c:dPt>
            <c:idx val="3"/>
            <c:spPr>
              <a:solidFill>
                <a:srgbClr val="8064a2"/>
              </a:solidFill>
              <a:ln>
                <a:noFill/>
              </a:ln>
            </c:spPr>
          </c:dPt>
          <c:dLbls>
            <c:numFmt formatCode="General" sourceLinked="1"/>
            <c:dLbl>
              <c:idx val="0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1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2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3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txPr>
              <a:bodyPr/>
              <a:lstStyle/>
              <a:p>
                <a:pPr>
                  <a:defRPr b="0" sz="1000" spc="-1" strike="noStrike">
                    <a:solidFill>
                      <a:srgbClr val="000000"/>
                    </a:solidFill>
                    <a:latin typeface="Arial"/>
                  </a:defRPr>
                </a:pPr>
              </a:p>
            </c:txPr>
            <c:dLblPos val="bestFit"/>
            <c:showLegendKey val="0"/>
            <c:showVal val="0"/>
            <c:showCatName val="0"/>
            <c:showSerName val="0"/>
            <c:showPercent val="0"/>
            <c:separator>; </c:separator>
            <c:showLeaderLines val="0"/>
          </c:dLbls>
          <c:cat>
            <c:strRef>
              <c:f>categories</c:f>
              <c:strCache>
                <c:ptCount val="4"/>
                <c:pt idx="0">
                  <c:v>Посещали театры до 1 класса - 80%</c:v>
                </c:pt>
                <c:pt idx="1">
                  <c:v>Только после поступления в 1 класс - 20%</c:v>
                </c:pt>
                <c:pt idx="2">
                  <c:v/>
                </c:pt>
                <c:pt idx="3">
                  <c:v/>
                </c:pt>
              </c:strCache>
            </c:strRef>
          </c:cat>
          <c:val>
            <c:numRef>
              <c:f>0</c:f>
              <c:numCache>
                <c:formatCode>General</c:formatCode>
                <c:ptCount val="4"/>
                <c:pt idx="0">
                  <c:v>80</c:v>
                </c:pt>
                <c:pt idx="1">
                  <c:v>20</c:v>
                </c:pt>
              </c:numCache>
            </c:numRef>
          </c:val>
        </c:ser>
        <c:firstSliceAng val="0"/>
      </c:pieChart>
      <c:spPr>
        <a:solidFill>
          <a:srgbClr val="ffffff"/>
        </a:solidFill>
        <a:ln>
          <a:noFill/>
        </a:ln>
      </c:spPr>
    </c:plotArea>
    <c:legend>
      <c:layout>
        <c:manualLayout>
          <c:xMode val="edge"/>
          <c:yMode val="edge"/>
          <c:x val="0.573875"/>
          <c:y val="0.286666666666667"/>
          <c:w val="0.368648040502531"/>
          <c:h val="0.491054561617958"/>
        </c:manualLayout>
      </c:layout>
      <c:spPr>
        <a:noFill/>
        <a:ln>
          <a:noFill/>
        </a:ln>
      </c:spPr>
      <c:txPr>
        <a:bodyPr/>
        <a:lstStyle/>
        <a:p>
          <a:pPr>
            <a:defRPr b="0" sz="1200" spc="-1" strike="noStrike">
              <a:solidFill>
                <a:srgbClr val="000000"/>
              </a:solidFill>
              <a:latin typeface="Times New Roman"/>
            </a:defRPr>
          </a:pPr>
        </a:p>
      </c:txPr>
    </c:legend>
    <c:plotVisOnly val="1"/>
    <c:dispBlanksAs val="gap"/>
  </c:chart>
  <c:spPr>
    <a:solidFill>
      <a:srgbClr val="ffffff"/>
    </a:solidFill>
    <a:ln w="9360">
      <a:noFill/>
    </a:ln>
  </c:spPr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en-US"/>
  <c:roundedCorners val="0"/>
  <c:chart>
    <c:plotArea>
      <c:pieChart>
        <c:varyColors val="1"/>
        <c:ser>
          <c:idx val="0"/>
          <c:order val="0"/>
          <c:tx>
            <c:strRef>
              <c:f>label 0</c:f>
              <c:strCache>
                <c:ptCount val="1"/>
                <c:pt idx="0">
                  <c:v>Столбец1</c:v>
                </c:pt>
              </c:strCache>
            </c:strRef>
          </c:tx>
          <c:spPr>
            <a:solidFill>
              <a:srgbClr val="4f81bd"/>
            </a:solidFill>
            <a:ln>
              <a:noFill/>
            </a:ln>
          </c:spPr>
          <c:explosion val="0"/>
          <c:dPt>
            <c:idx val="0"/>
            <c:spPr>
              <a:solidFill>
                <a:srgbClr val="4f81bd"/>
              </a:solidFill>
              <a:ln>
                <a:noFill/>
              </a:ln>
            </c:spPr>
          </c:dPt>
          <c:dPt>
            <c:idx val="1"/>
            <c:spPr>
              <a:solidFill>
                <a:srgbClr val="c0504d"/>
              </a:solidFill>
              <a:ln>
                <a:noFill/>
              </a:ln>
            </c:spPr>
          </c:dPt>
          <c:dPt>
            <c:idx val="2"/>
            <c:spPr>
              <a:solidFill>
                <a:srgbClr val="9bbb59"/>
              </a:solidFill>
              <a:ln>
                <a:noFill/>
              </a:ln>
            </c:spPr>
          </c:dPt>
          <c:dPt>
            <c:idx val="3"/>
            <c:spPr>
              <a:solidFill>
                <a:srgbClr val="8064a2"/>
              </a:solidFill>
              <a:ln>
                <a:noFill/>
              </a:ln>
            </c:spPr>
          </c:dPt>
          <c:dLbls>
            <c:numFmt formatCode="General" sourceLinked="1"/>
            <c:dLbl>
              <c:idx val="0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1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2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3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txPr>
              <a:bodyPr/>
              <a:lstStyle/>
              <a:p>
                <a:pPr>
                  <a:defRPr b="0" sz="1000" spc="-1" strike="noStrike">
                    <a:solidFill>
                      <a:srgbClr val="000000"/>
                    </a:solidFill>
                    <a:latin typeface="Arial"/>
                  </a:defRPr>
                </a:pPr>
              </a:p>
            </c:txPr>
            <c:dLblPos val="bestFit"/>
            <c:showLegendKey val="0"/>
            <c:showVal val="0"/>
            <c:showCatName val="0"/>
            <c:showSerName val="0"/>
            <c:showPercent val="0"/>
            <c:separator>; </c:separator>
            <c:showLeaderLines val="0"/>
          </c:dLbls>
          <c:cat>
            <c:strRef>
              <c:f>categories</c:f>
              <c:strCache>
                <c:ptCount val="4"/>
                <c:pt idx="0">
                  <c:v>Посещают театр 3 - 5 раз в год - 72%</c:v>
                </c:pt>
                <c:pt idx="1">
                  <c:v>Посещают театр 1 раз в год - 24%</c:v>
                </c:pt>
                <c:pt idx="2">
                  <c:v/>
                </c:pt>
                <c:pt idx="3">
                  <c:v/>
                </c:pt>
              </c:strCache>
            </c:strRef>
          </c:cat>
          <c:val>
            <c:numRef>
              <c:f>0</c:f>
              <c:numCache>
                <c:formatCode>General</c:formatCode>
                <c:ptCount val="4"/>
                <c:pt idx="0">
                  <c:v>72</c:v>
                </c:pt>
                <c:pt idx="1">
                  <c:v>24</c:v>
                </c:pt>
              </c:numCache>
            </c:numRef>
          </c:val>
        </c:ser>
        <c:firstSliceAng val="0"/>
      </c:pieChart>
      <c:spPr>
        <a:solidFill>
          <a:srgbClr val="ffffff"/>
        </a:solidFill>
        <a:ln>
          <a:noFill/>
        </a:ln>
      </c:spPr>
    </c:plotArea>
    <c:legend>
      <c:layout>
        <c:manualLayout>
          <c:xMode val="edge"/>
          <c:yMode val="edge"/>
          <c:x val="0.573875"/>
          <c:y val="0.286666666666667"/>
          <c:w val="0.368648040502531"/>
          <c:h val="0.491054561617958"/>
        </c:manualLayout>
      </c:layout>
      <c:spPr>
        <a:noFill/>
        <a:ln>
          <a:noFill/>
        </a:ln>
      </c:spPr>
      <c:txPr>
        <a:bodyPr/>
        <a:lstStyle/>
        <a:p>
          <a:pPr>
            <a:defRPr b="0" sz="1000" spc="-1" strike="noStrike">
              <a:solidFill>
                <a:srgbClr val="000000"/>
              </a:solidFill>
              <a:latin typeface="Calibri"/>
            </a:defRPr>
          </a:pPr>
        </a:p>
      </c:txPr>
    </c:legend>
    <c:plotVisOnly val="1"/>
    <c:dispBlanksAs val="gap"/>
  </c:chart>
  <c:spPr>
    <a:solidFill>
      <a:srgbClr val="ffffff"/>
    </a:solidFill>
    <a:ln w="9360">
      <a:noFill/>
    </a:ln>
  </c:spPr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en-US"/>
  <c:roundedCorners val="0"/>
  <c:chart>
    <c:plotArea>
      <c:pieChart>
        <c:varyColors val="1"/>
        <c:ser>
          <c:idx val="0"/>
          <c:order val="0"/>
          <c:tx>
            <c:strRef>
              <c:f>label 0</c:f>
              <c:strCache>
                <c:ptCount val="1"/>
                <c:pt idx="0">
                  <c:v>Столбец1</c:v>
                </c:pt>
              </c:strCache>
            </c:strRef>
          </c:tx>
          <c:spPr>
            <a:solidFill>
              <a:srgbClr val="4f81bd"/>
            </a:solidFill>
            <a:ln>
              <a:noFill/>
            </a:ln>
          </c:spPr>
          <c:explosion val="0"/>
          <c:dPt>
            <c:idx val="0"/>
            <c:spPr>
              <a:solidFill>
                <a:srgbClr val="4f81bd"/>
              </a:solidFill>
              <a:ln>
                <a:noFill/>
              </a:ln>
            </c:spPr>
          </c:dPt>
          <c:dPt>
            <c:idx val="1"/>
            <c:spPr>
              <a:solidFill>
                <a:srgbClr val="c0504d"/>
              </a:solidFill>
              <a:ln>
                <a:noFill/>
              </a:ln>
            </c:spPr>
          </c:dPt>
          <c:dPt>
            <c:idx val="2"/>
            <c:spPr>
              <a:solidFill>
                <a:srgbClr val="9bbb59"/>
              </a:solidFill>
              <a:ln>
                <a:noFill/>
              </a:ln>
            </c:spPr>
          </c:dPt>
          <c:dPt>
            <c:idx val="3"/>
            <c:spPr>
              <a:solidFill>
                <a:srgbClr val="8064a2"/>
              </a:solidFill>
              <a:ln>
                <a:noFill/>
              </a:ln>
            </c:spPr>
          </c:dPt>
          <c:dLbls>
            <c:numFmt formatCode="General" sourceLinked="1"/>
            <c:dLbl>
              <c:idx val="0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1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2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3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txPr>
              <a:bodyPr/>
              <a:lstStyle/>
              <a:p>
                <a:pPr>
                  <a:defRPr b="0" sz="1000" spc="-1" strike="noStrike">
                    <a:solidFill>
                      <a:srgbClr val="000000"/>
                    </a:solidFill>
                    <a:latin typeface="Arial"/>
                  </a:defRPr>
                </a:pPr>
              </a:p>
            </c:txPr>
            <c:dLblPos val="bestFit"/>
            <c:showLegendKey val="0"/>
            <c:showVal val="0"/>
            <c:showCatName val="0"/>
            <c:showSerName val="0"/>
            <c:showPercent val="0"/>
            <c:separator>; </c:separator>
            <c:showLeaderLines val="0"/>
          </c:dLbls>
          <c:cat>
            <c:strRef>
              <c:f>categories</c:f>
              <c:strCache>
                <c:ptCount val="4"/>
                <c:pt idx="0">
                  <c:v>Родители - 70%</c:v>
                </c:pt>
                <c:pt idx="1">
                  <c:v>Учитель - 30%</c:v>
                </c:pt>
                <c:pt idx="2">
                  <c:v/>
                </c:pt>
                <c:pt idx="3">
                  <c:v/>
                </c:pt>
              </c:strCache>
            </c:strRef>
          </c:cat>
          <c:val>
            <c:numRef>
              <c:f>0</c:f>
              <c:numCache>
                <c:formatCode>General</c:formatCode>
                <c:ptCount val="4"/>
                <c:pt idx="0">
                  <c:v>70</c:v>
                </c:pt>
                <c:pt idx="1">
                  <c:v>30</c:v>
                </c:pt>
              </c:numCache>
            </c:numRef>
          </c:val>
        </c:ser>
        <c:firstSliceAng val="0"/>
      </c:pieChart>
      <c:spPr>
        <a:solidFill>
          <a:srgbClr val="ffffff"/>
        </a:solidFill>
        <a:ln>
          <a:noFill/>
        </a:ln>
      </c:spPr>
    </c:plotArea>
    <c:legend>
      <c:layout>
        <c:manualLayout>
          <c:xMode val="edge"/>
          <c:yMode val="edge"/>
          <c:x val="0.573875"/>
          <c:y val="0.286666666666667"/>
          <c:w val="0.410338146134133"/>
          <c:h val="0.491054561617958"/>
        </c:manualLayout>
      </c:layout>
      <c:spPr>
        <a:noFill/>
        <a:ln>
          <a:noFill/>
        </a:ln>
      </c:spPr>
      <c:txPr>
        <a:bodyPr/>
        <a:lstStyle/>
        <a:p>
          <a:pPr>
            <a:defRPr b="0" sz="1100" spc="-1" strike="noStrike">
              <a:solidFill>
                <a:srgbClr val="000000"/>
              </a:solidFill>
              <a:latin typeface="Times New Roman"/>
            </a:defRPr>
          </a:pPr>
        </a:p>
      </c:txPr>
    </c:legend>
    <c:plotVisOnly val="1"/>
    <c:dispBlanksAs val="gap"/>
  </c:chart>
  <c:spPr>
    <a:solidFill>
      <a:srgbClr val="ffffff"/>
    </a:solidFill>
    <a:ln w="9360">
      <a:noFill/>
    </a:ln>
  </c:spPr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en-US"/>
  <c:roundedCorners val="0"/>
  <c:chart>
    <c:plotArea>
      <c:pieChart>
        <c:varyColors val="1"/>
        <c:ser>
          <c:idx val="0"/>
          <c:order val="0"/>
          <c:tx>
            <c:strRef>
              <c:f>label 0</c:f>
              <c:strCache>
                <c:ptCount val="1"/>
                <c:pt idx="0">
                  <c:v>Столбец1</c:v>
                </c:pt>
              </c:strCache>
            </c:strRef>
          </c:tx>
          <c:spPr>
            <a:solidFill>
              <a:srgbClr val="4f81bd"/>
            </a:solidFill>
            <a:ln>
              <a:noFill/>
            </a:ln>
          </c:spPr>
          <c:explosion val="0"/>
          <c:dPt>
            <c:idx val="0"/>
            <c:spPr>
              <a:solidFill>
                <a:srgbClr val="4f81bd"/>
              </a:solidFill>
              <a:ln>
                <a:noFill/>
              </a:ln>
            </c:spPr>
          </c:dPt>
          <c:dPt>
            <c:idx val="1"/>
            <c:spPr>
              <a:solidFill>
                <a:srgbClr val="c0504d"/>
              </a:solidFill>
              <a:ln>
                <a:noFill/>
              </a:ln>
            </c:spPr>
          </c:dPt>
          <c:dPt>
            <c:idx val="2"/>
            <c:spPr>
              <a:solidFill>
                <a:srgbClr val="9bbb59"/>
              </a:solidFill>
              <a:ln>
                <a:noFill/>
              </a:ln>
            </c:spPr>
          </c:dPt>
          <c:dPt>
            <c:idx val="3"/>
            <c:spPr>
              <a:solidFill>
                <a:srgbClr val="8064a2"/>
              </a:solidFill>
              <a:ln>
                <a:noFill/>
              </a:ln>
            </c:spPr>
          </c:dPt>
          <c:dLbls>
            <c:numFmt formatCode="General" sourceLinked="1"/>
            <c:dLbl>
              <c:idx val="0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1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2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3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txPr>
              <a:bodyPr/>
              <a:lstStyle/>
              <a:p>
                <a:pPr>
                  <a:defRPr b="0" sz="1000" spc="-1" strike="noStrike">
                    <a:solidFill>
                      <a:srgbClr val="000000"/>
                    </a:solidFill>
                    <a:latin typeface="Arial"/>
                  </a:defRPr>
                </a:pPr>
              </a:p>
            </c:txPr>
            <c:dLblPos val="bestFit"/>
            <c:showLegendKey val="0"/>
            <c:showVal val="0"/>
            <c:showCatName val="0"/>
            <c:showSerName val="0"/>
            <c:showPercent val="0"/>
            <c:separator>; </c:separator>
            <c:showLeaderLines val="0"/>
          </c:dLbls>
          <c:cat>
            <c:strRef>
              <c:f>categories</c:f>
              <c:strCache>
                <c:ptCount val="4"/>
                <c:pt idx="0">
                  <c:v>Нравится с классом - 57%</c:v>
                </c:pt>
                <c:pt idx="1">
                  <c:v>Нравится с семьёй - 43% </c:v>
                </c:pt>
                <c:pt idx="2">
                  <c:v/>
                </c:pt>
                <c:pt idx="3">
                  <c:v/>
                </c:pt>
              </c:strCache>
            </c:strRef>
          </c:cat>
          <c:val>
            <c:numRef>
              <c:f>0</c:f>
              <c:numCache>
                <c:formatCode>General</c:formatCode>
                <c:ptCount val="4"/>
                <c:pt idx="0">
                  <c:v>57</c:v>
                </c:pt>
                <c:pt idx="1">
                  <c:v>43</c:v>
                </c:pt>
              </c:numCache>
            </c:numRef>
          </c:val>
        </c:ser>
        <c:firstSliceAng val="0"/>
      </c:pieChart>
      <c:spPr>
        <a:solidFill>
          <a:srgbClr val="ffffff"/>
        </a:solidFill>
        <a:ln>
          <a:noFill/>
        </a:ln>
      </c:spPr>
    </c:plotArea>
    <c:legend>
      <c:layout>
        <c:manualLayout>
          <c:xMode val="edge"/>
          <c:yMode val="edge"/>
          <c:x val="0.573875"/>
          <c:y val="0.286666666666667"/>
          <c:w val="0.410338146134133"/>
          <c:h val="0.491054561617958"/>
        </c:manualLayout>
      </c:layout>
      <c:spPr>
        <a:noFill/>
        <a:ln>
          <a:noFill/>
        </a:ln>
      </c:spPr>
      <c:txPr>
        <a:bodyPr/>
        <a:lstStyle/>
        <a:p>
          <a:pPr>
            <a:defRPr b="0" sz="1100" spc="-1" strike="noStrike">
              <a:solidFill>
                <a:srgbClr val="000000"/>
              </a:solidFill>
              <a:latin typeface="Times New Roman"/>
            </a:defRPr>
          </a:pPr>
        </a:p>
      </c:txPr>
    </c:legend>
    <c:plotVisOnly val="1"/>
    <c:dispBlanksAs val="gap"/>
  </c:chart>
  <c:spPr>
    <a:solidFill>
      <a:srgbClr val="ffffff"/>
    </a:solidFill>
    <a:ln w="9360">
      <a:noFill/>
    </a:ln>
  </c:spPr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en-US"/>
  <c:roundedCorners val="0"/>
  <c:chart>
    <c:plotArea>
      <c:pieChart>
        <c:varyColors val="1"/>
        <c:ser>
          <c:idx val="0"/>
          <c:order val="0"/>
          <c:tx>
            <c:strRef>
              <c:f>label 0</c:f>
              <c:strCache>
                <c:ptCount val="1"/>
                <c:pt idx="0">
                  <c:v>Столбец1</c:v>
                </c:pt>
              </c:strCache>
            </c:strRef>
          </c:tx>
          <c:spPr>
            <a:solidFill>
              <a:srgbClr val="4f81bd"/>
            </a:solidFill>
            <a:ln>
              <a:noFill/>
            </a:ln>
          </c:spPr>
          <c:explosion val="0"/>
          <c:dPt>
            <c:idx val="0"/>
            <c:spPr>
              <a:solidFill>
                <a:srgbClr val="4f81bd"/>
              </a:solidFill>
              <a:ln>
                <a:noFill/>
              </a:ln>
            </c:spPr>
          </c:dPt>
          <c:dPt>
            <c:idx val="1"/>
            <c:spPr>
              <a:solidFill>
                <a:srgbClr val="c0504d"/>
              </a:solidFill>
              <a:ln>
                <a:noFill/>
              </a:ln>
            </c:spPr>
          </c:dPt>
          <c:dPt>
            <c:idx val="2"/>
            <c:spPr>
              <a:solidFill>
                <a:srgbClr val="9bbb59"/>
              </a:solidFill>
              <a:ln>
                <a:noFill/>
              </a:ln>
            </c:spPr>
          </c:dPt>
          <c:dPt>
            <c:idx val="3"/>
            <c:spPr>
              <a:solidFill>
                <a:srgbClr val="8064a2"/>
              </a:solidFill>
              <a:ln>
                <a:noFill/>
              </a:ln>
            </c:spPr>
          </c:dPt>
          <c:dLbls>
            <c:numFmt formatCode="General" sourceLinked="1"/>
            <c:dLbl>
              <c:idx val="0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1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2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dLbl>
              <c:idx val="3"/>
              <c:numFmt formatCode="General" sourceLinked="1"/>
              <c:txPr>
                <a:bodyPr/>
                <a:lstStyle/>
                <a:p>
                  <a:pPr>
                    <a:defRPr b="0" sz="1000" spc="-1" strike="noStrike">
                      <a:solidFill>
                        <a:srgbClr val="000000"/>
                      </a:solidFill>
                      <a:latin typeface="Arial"/>
                    </a:defRPr>
                  </a:pPr>
                </a:p>
              </c:txPr>
              <c:dLblPos val="bestFit"/>
              <c:showLegendKey val="0"/>
              <c:showVal val="0"/>
              <c:showCatName val="0"/>
              <c:showSerName val="0"/>
              <c:showPercent val="0"/>
              <c:separator>; </c:separator>
            </c:dLbl>
            <c:txPr>
              <a:bodyPr/>
              <a:lstStyle/>
              <a:p>
                <a:pPr>
                  <a:defRPr b="0" sz="1000" spc="-1" strike="noStrike">
                    <a:solidFill>
                      <a:srgbClr val="000000"/>
                    </a:solidFill>
                    <a:latin typeface="Arial"/>
                  </a:defRPr>
                </a:pPr>
              </a:p>
            </c:txPr>
            <c:dLblPos val="bestFit"/>
            <c:showLegendKey val="0"/>
            <c:showVal val="0"/>
            <c:showCatName val="0"/>
            <c:showSerName val="0"/>
            <c:showPercent val="0"/>
            <c:separator>; </c:separator>
            <c:showLeaderLines val="0"/>
          </c:dLbls>
          <c:cat>
            <c:strRef>
              <c:f>categories</c:f>
              <c:strCache>
                <c:ptCount val="4"/>
                <c:pt idx="0">
                  <c:v>Узнавать что - то новое, интересное, культурно развиваться - 96%</c:v>
                </c:pt>
                <c:pt idx="1">
                  <c:v>Просто так - 4%</c:v>
                </c:pt>
                <c:pt idx="2">
                  <c:v/>
                </c:pt>
                <c:pt idx="3">
                  <c:v/>
                </c:pt>
              </c:strCache>
            </c:strRef>
          </c:cat>
          <c:val>
            <c:numRef>
              <c:f>0</c:f>
              <c:numCache>
                <c:formatCode>General</c:formatCode>
                <c:ptCount val="4"/>
                <c:pt idx="0">
                  <c:v>96</c:v>
                </c:pt>
                <c:pt idx="1">
                  <c:v>4</c:v>
                </c:pt>
              </c:numCache>
            </c:numRef>
          </c:val>
        </c:ser>
        <c:firstSliceAng val="0"/>
      </c:pieChart>
      <c:spPr>
        <a:solidFill>
          <a:srgbClr val="ffffff"/>
        </a:solidFill>
        <a:ln>
          <a:noFill/>
        </a:ln>
      </c:spPr>
    </c:plotArea>
    <c:legend>
      <c:layout>
        <c:manualLayout>
          <c:xMode val="edge"/>
          <c:yMode val="edge"/>
          <c:x val="0.5365"/>
          <c:y val="0.0951111111111111"/>
          <c:w val="0.447652978311144"/>
          <c:h val="0.682409156572953"/>
        </c:manualLayout>
      </c:layout>
      <c:spPr>
        <a:noFill/>
        <a:ln>
          <a:noFill/>
        </a:ln>
      </c:spPr>
      <c:txPr>
        <a:bodyPr/>
        <a:lstStyle/>
        <a:p>
          <a:pPr>
            <a:defRPr b="0" sz="1100" spc="-1" strike="noStrike">
              <a:solidFill>
                <a:srgbClr val="000000"/>
              </a:solidFill>
              <a:latin typeface="Times New Roman"/>
            </a:defRPr>
          </a:pPr>
        </a:p>
      </c:txPr>
    </c:legend>
    <c:plotVisOnly val="1"/>
    <c:dispBlanksAs val="gap"/>
  </c:chart>
  <c:spPr>
    <a:solidFill>
      <a:srgbClr val="ffffff"/>
    </a:solidFill>
    <a:ln w="9360">
      <a:noFill/>
    </a:ln>
  </c:sp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F7BBFE-C26E-4C48-8CA6-B395315F0E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374</TotalTime>
  <Application>LibreOffice/6.3.2.2$Windows_x86 LibreOffice_project/98b30e735bda24bc04ab42594c85f7fd8be07b9c</Application>
  <Pages>16</Pages>
  <Words>2268</Words>
  <Characters>13481</Characters>
  <CharactersWithSpaces>16853</CharactersWithSpaces>
  <Paragraphs>101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2012-11-21T17:47:00Z</dcterms:created>
  <dc:creator>User13</dc:creator>
  <dc:description/>
  <dc:language>ru-RU</dc:language>
  <cp:lastModifiedBy/>
  <dcterms:modified xsi:type="dcterms:W3CDTF">2020-10-18T16:43:45Z</dcterms:modified>
  <cp:revision>27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